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679" w:rsidRPr="00511679" w:rsidRDefault="00511679">
      <w:bookmarkStart w:id="0" w:name="_GoBack"/>
      <w:bookmarkEnd w:id="0"/>
      <w:r w:rsidRPr="00511679">
        <w:t>http://www.newportcorp.com.au/site/index.cfm?display=327004</w:t>
      </w:r>
    </w:p>
    <w:p w:rsidR="00511679" w:rsidRDefault="00511679">
      <w:pPr>
        <w:rPr>
          <w:b/>
        </w:rPr>
      </w:pPr>
    </w:p>
    <w:p w:rsidR="00CD30B3" w:rsidRDefault="00CD30B3" w:rsidP="00CD30B3">
      <w:pPr>
        <w:rPr>
          <w:b/>
        </w:rPr>
      </w:pPr>
      <w:r w:rsidRPr="002F21A0">
        <w:rPr>
          <w:b/>
        </w:rPr>
        <w:t xml:space="preserve">Newcastle Port Corporation Annual Report </w:t>
      </w:r>
      <w:r>
        <w:rPr>
          <w:b/>
        </w:rPr>
        <w:t xml:space="preserve">2009 - 2010 </w:t>
      </w:r>
    </w:p>
    <w:p w:rsidR="00CD30B3" w:rsidRDefault="00CD30B3">
      <w:pPr>
        <w:rPr>
          <w:b/>
        </w:rPr>
      </w:pPr>
    </w:p>
    <w:p w:rsidR="00CD30B3" w:rsidRDefault="00CD30B3">
      <w:r>
        <w:t>Page 16</w:t>
      </w:r>
    </w:p>
    <w:p w:rsidR="00CD30B3" w:rsidRDefault="00CD30B3"/>
    <w:p w:rsidR="00CD30B3" w:rsidRDefault="00CD30B3">
      <w:pPr>
        <w:rPr>
          <w:b/>
        </w:rPr>
      </w:pPr>
      <w:r>
        <w:t>The 90 hectares of riverfront land at the former BHP Steelworks site at Mayfield for which the Corporation gained development control attracted major attention. In May the Corporation expressed interest in hearing from interested parties about high quality terminal and infrastructure projects for the prime site.</w:t>
      </w:r>
    </w:p>
    <w:p w:rsidR="00CD30B3" w:rsidRDefault="00CD30B3">
      <w:pPr>
        <w:rPr>
          <w:b/>
        </w:rPr>
      </w:pPr>
    </w:p>
    <w:p w:rsidR="00CD30B3" w:rsidRDefault="00CD30B3">
      <w:r>
        <w:t>The potential for this land is recognised as being of significant importance, especially for projects deemed suitable for the site such as terminal development and cargo handling infrastructure for port-related activities such as general cargo, bulk trade, bulk liquids and particularly container trade. The Corporation is working with interested parties to deliver the development and economic benefits the site offers for the Hunter Region.</w:t>
      </w:r>
    </w:p>
    <w:p w:rsidR="00CD30B3" w:rsidRDefault="00CD30B3"/>
    <w:p w:rsidR="00CD30B3" w:rsidRDefault="00CD30B3">
      <w:r>
        <w:t>Page 56</w:t>
      </w:r>
    </w:p>
    <w:p w:rsidR="00CD30B3" w:rsidRDefault="00CD30B3"/>
    <w:p w:rsidR="00CD30B3" w:rsidRDefault="00CD30B3">
      <w:r>
        <w:t xml:space="preserve">Grow non-coal trades </w:t>
      </w:r>
      <w:r>
        <w:t xml:space="preserve">- </w:t>
      </w:r>
      <w:r>
        <w:t>Development of strategy for container trade to be delivered by September 2009</w:t>
      </w:r>
      <w:r>
        <w:t xml:space="preserve"> - </w:t>
      </w:r>
      <w:r>
        <w:t xml:space="preserve"> Ongoing</w:t>
      </w:r>
    </w:p>
    <w:p w:rsidR="00CD30B3" w:rsidRDefault="00CD30B3"/>
    <w:p w:rsidR="00CD30B3" w:rsidRDefault="00CD30B3">
      <w:r>
        <w:t>Page 58</w:t>
      </w:r>
    </w:p>
    <w:p w:rsidR="00CD30B3" w:rsidRDefault="00CD30B3"/>
    <w:p w:rsidR="00CD30B3" w:rsidRDefault="00CD30B3">
      <w:pPr>
        <w:rPr>
          <w:b/>
        </w:rPr>
      </w:pPr>
      <w:r>
        <w:t>We will provide the framework to grow general cargo and container trade through the effective master planning and development of the Mayfield site to provide for the next major container terminal in New South Wales.</w:t>
      </w:r>
    </w:p>
    <w:p w:rsidR="00CD30B3" w:rsidRDefault="00CD30B3">
      <w:pPr>
        <w:rPr>
          <w:b/>
        </w:rPr>
      </w:pPr>
    </w:p>
    <w:p w:rsidR="00014B9D" w:rsidRDefault="002E6AE6">
      <w:pPr>
        <w:rPr>
          <w:b/>
        </w:rPr>
      </w:pPr>
      <w:r w:rsidRPr="002F21A0">
        <w:rPr>
          <w:b/>
        </w:rPr>
        <w:t xml:space="preserve">Newcastle Port Corporation Annual Report 2010 – 2011 </w:t>
      </w:r>
    </w:p>
    <w:p w:rsidR="002F21A0" w:rsidRPr="002F21A0" w:rsidRDefault="002F21A0">
      <w:r w:rsidRPr="002F21A0">
        <w:t>Year ending June 30 2011</w:t>
      </w:r>
    </w:p>
    <w:p w:rsidR="002E6AE6" w:rsidRDefault="002E6AE6"/>
    <w:p w:rsidR="002E6AE6" w:rsidRDefault="002E6AE6">
      <w:r>
        <w:t>Page 59</w:t>
      </w:r>
    </w:p>
    <w:p w:rsidR="002E6AE6" w:rsidRDefault="002E6AE6"/>
    <w:p w:rsidR="002F21A0" w:rsidRPr="002F21A0" w:rsidRDefault="002E6AE6">
      <w:pPr>
        <w:rPr>
          <w:b/>
        </w:rPr>
      </w:pPr>
      <w:r w:rsidRPr="002F21A0">
        <w:rPr>
          <w:b/>
        </w:rPr>
        <w:t xml:space="preserve">Executing Newcastle Port Corporation’s Container Strategy </w:t>
      </w:r>
    </w:p>
    <w:p w:rsidR="002F21A0" w:rsidRDefault="002F21A0"/>
    <w:p w:rsidR="002E6AE6" w:rsidRDefault="002E6AE6">
      <w:r>
        <w:t>Newcastle Port Corporation has a longstanding strategy to develop the next container terminal in New South Wales on the Mayfield site. This strategy is consistent with the NSW Ports Growth Plan (2003) which identified the Mayfield site in the Port of Newcastle as the location for the State’s next container terminal when Port Botany reaches capacity.</w:t>
      </w:r>
    </w:p>
    <w:p w:rsidR="002E6AE6" w:rsidRDefault="002E6AE6"/>
    <w:p w:rsidR="002E6AE6" w:rsidRDefault="002E6AE6" w:rsidP="002E6AE6">
      <w:r>
        <w:t xml:space="preserve">Newcastle Port Corporation’s strategy has identified the container task within the Hunter and surrounding regions as sufficient to establish a container terminal in the port. The Corporation has undertaken a range of activities in pursuance of this strategy including seeking planning approval for its Concept Plan for the Mayfield site which is currently under consideration by the Department of Planning. In addition, in 2010 the Corporation commenced a Request for Proposals process for a Master Developer to develop and operate a terminal on the Mayfield site that will include a container terminal. That process is ongoing. </w:t>
      </w:r>
    </w:p>
    <w:p w:rsidR="002E6AE6" w:rsidRDefault="002E6AE6" w:rsidP="002E6AE6"/>
    <w:p w:rsidR="002E6AE6" w:rsidRDefault="002E6AE6" w:rsidP="002E6AE6">
      <w:r>
        <w:t xml:space="preserve">Newcastle Port Corporation’s strategy for establishing the next container terminal in New South Wales on the Mayfield site is to seek to complete a contract with a Master Developer proponent to develop and operate a terminal on the Mayfield site that will include a container terminal and associated infrastructure as well as general cargo and dry bulk handling capacity. </w:t>
      </w:r>
    </w:p>
    <w:p w:rsidR="002E6AE6" w:rsidRDefault="002E6AE6" w:rsidP="002E6AE6"/>
    <w:p w:rsidR="002E6AE6" w:rsidRDefault="002E6AE6" w:rsidP="002E6AE6">
      <w:r>
        <w:lastRenderedPageBreak/>
        <w:t>Newcastle Port Corporation will in 2011 seek to negotiate appropriate commercial terms with the identified Master Developer for the development of the Mayfield site.</w:t>
      </w:r>
    </w:p>
    <w:p w:rsidR="002E6AE6" w:rsidRDefault="002E6AE6" w:rsidP="002E6AE6"/>
    <w:p w:rsidR="004C6BB4" w:rsidRDefault="004C6BB4" w:rsidP="002E6AE6">
      <w:r>
        <w:t>Page 62</w:t>
      </w:r>
    </w:p>
    <w:p w:rsidR="004C6BB4" w:rsidRDefault="004C6BB4" w:rsidP="002E6AE6"/>
    <w:p w:rsidR="002F21A0" w:rsidRPr="002F21A0" w:rsidRDefault="004C6BB4" w:rsidP="004C6BB4">
      <w:pPr>
        <w:rPr>
          <w:b/>
        </w:rPr>
      </w:pPr>
      <w:r w:rsidRPr="002F21A0">
        <w:rPr>
          <w:b/>
        </w:rPr>
        <w:t xml:space="preserve">Mayfield Strategy </w:t>
      </w:r>
    </w:p>
    <w:p w:rsidR="004C6BB4" w:rsidRDefault="004C6BB4" w:rsidP="004C6BB4">
      <w:r>
        <w:t xml:space="preserve"> </w:t>
      </w:r>
    </w:p>
    <w:p w:rsidR="004C6BB4" w:rsidRDefault="004C6BB4" w:rsidP="004C6BB4">
      <w:r>
        <w:t>Newcastle Port Corporation has a comprehensive strategy for the development of the Mayfield site that will provide for a container terminal along with bulk liquid facilities, a general cargo facility and a dry bulk precinct.</w:t>
      </w:r>
    </w:p>
    <w:p w:rsidR="002F21A0" w:rsidRDefault="002F21A0" w:rsidP="004C6BB4"/>
    <w:p w:rsidR="004C6BB4" w:rsidRDefault="004C6BB4" w:rsidP="004C6BB4">
      <w:r>
        <w:t xml:space="preserve">The Corporation’s strategy for establishing the next container terminal in New South Wales on the Mayfield site is to seek to complete a contract with a proponent to develop and operate  a container terminal and associated infrastructure on the  Mayfield site. </w:t>
      </w:r>
    </w:p>
    <w:p w:rsidR="002F21A0" w:rsidRDefault="002F21A0" w:rsidP="004C6BB4"/>
    <w:p w:rsidR="004C6BB4" w:rsidRDefault="004C6BB4" w:rsidP="004C6BB4">
      <w:r>
        <w:t>In October 2003 the NSW Government released its Ports Growth Plan, which provides a strategic vision for the future development of ports in New South Wales. The Plan identified that the former BhP site at Mayfield in the Port of Newcastle would be the site for the next major international container terminal in the State.</w:t>
      </w:r>
    </w:p>
    <w:p w:rsidR="002F21A0" w:rsidRDefault="002F21A0" w:rsidP="004C6BB4"/>
    <w:p w:rsidR="002F21A0" w:rsidRDefault="002F21A0" w:rsidP="002F21A0">
      <w:r>
        <w:t xml:space="preserve">A review of the Ports Growth Plan was scheduled for 2010–11. The Mayfield site is the only large scale site in New South Wales that could handle a new container terminal. The site requires no reclamation works or major channel dredging, it is currently available and is well serviced by existing road and rail links into Sydney as well as to the North Coast and inland areas of New South Wales. </w:t>
      </w:r>
    </w:p>
    <w:p w:rsidR="002F21A0" w:rsidRDefault="002F21A0" w:rsidP="002F21A0"/>
    <w:p w:rsidR="002F21A0" w:rsidRDefault="002F21A0" w:rsidP="002F21A0">
      <w:r>
        <w:t xml:space="preserve">In 2007 the NSW Government made the decision to transfer the port land area of the Mayfield site to Newcastle Port Corporation. This has allowed Newcastle Port Corporation to master plan the site to accommodate a range of port uses including a container terminal on this site. </w:t>
      </w:r>
    </w:p>
    <w:p w:rsidR="002F21A0" w:rsidRDefault="002F21A0" w:rsidP="002F21A0"/>
    <w:p w:rsidR="002F21A0" w:rsidRDefault="002F21A0" w:rsidP="002F21A0">
      <w:r>
        <w:t xml:space="preserve">In 2010 NPC initiated a market testing exercise to seek to identify a proponent who would wish to be the master developer for port facilities on the Mayfield site that would include a container terminal. Newcastle Port Corporation has identified a proponent that it wishes to proceed to commence commercial negotiations with to deliver a Master Lease that provides for the development and operation of a container terminal. </w:t>
      </w:r>
    </w:p>
    <w:p w:rsidR="002F21A0" w:rsidRDefault="002F21A0" w:rsidP="002F21A0"/>
    <w:p w:rsidR="002F21A0" w:rsidRDefault="002F21A0" w:rsidP="002F21A0">
      <w:r>
        <w:t>Newcastle Port Corporation considers there are good prospects  of a container terminal operating on the Mayfield site within the next 10 years.</w:t>
      </w:r>
    </w:p>
    <w:p w:rsidR="002F21A0" w:rsidRDefault="002F21A0" w:rsidP="002F21A0"/>
    <w:p w:rsidR="002F21A0" w:rsidRDefault="002F21A0" w:rsidP="002F21A0">
      <w:r>
        <w:t>Key Tasks for 2011–12 are:</w:t>
      </w:r>
    </w:p>
    <w:p w:rsidR="002F21A0" w:rsidRDefault="002F21A0" w:rsidP="002F21A0"/>
    <w:p w:rsidR="002F21A0" w:rsidRDefault="002F21A0" w:rsidP="002F21A0">
      <w:r>
        <w:t xml:space="preserve">•  complete contract with proponent to develop and operate  a container terminal and associated infrastructure on the Mayfield site </w:t>
      </w:r>
    </w:p>
    <w:p w:rsidR="002F21A0" w:rsidRDefault="002F21A0" w:rsidP="002F21A0">
      <w:r>
        <w:t xml:space="preserve">•  deliver Rail Realignment at Mayfield </w:t>
      </w:r>
    </w:p>
    <w:p w:rsidR="002F21A0" w:rsidRDefault="002F21A0" w:rsidP="002F21A0">
      <w:r>
        <w:t xml:space="preserve">•  engage with NSW Government on its response to the National Port Strategy and the National Freight Strategy to ensure the natural advantage of the Port of Newcastle as the State’s  next container terminal is understood and is retained in the NSW Ports Plan </w:t>
      </w:r>
    </w:p>
    <w:p w:rsidR="002F21A0" w:rsidRDefault="002F21A0" w:rsidP="002F21A0">
      <w:r>
        <w:t xml:space="preserve">non-Coal Strategy  </w:t>
      </w:r>
    </w:p>
    <w:p w:rsidR="002F21A0" w:rsidRDefault="002F21A0" w:rsidP="002F21A0"/>
    <w:p w:rsidR="002F21A0" w:rsidRDefault="002F21A0" w:rsidP="002F21A0">
      <w:r>
        <w:t xml:space="preserve">Newcastle Port Corporation has a trade development strategy that is focussed on growing the Corporation’s non-coal trade through effective management of diversification and with particular focus on servicing trade for which the Port of Newcastle has a natural competitive advantage. The strategy is targeting growth in the following cargo segments: </w:t>
      </w:r>
    </w:p>
    <w:p w:rsidR="002F21A0" w:rsidRDefault="002F21A0" w:rsidP="002F21A0"/>
    <w:p w:rsidR="002F21A0" w:rsidRDefault="002F21A0" w:rsidP="002F21A0">
      <w:r>
        <w:t xml:space="preserve">• bulk liquids trade </w:t>
      </w:r>
    </w:p>
    <w:p w:rsidR="002F21A0" w:rsidRDefault="002F21A0" w:rsidP="002F21A0">
      <w:r>
        <w:lastRenderedPageBreak/>
        <w:t xml:space="preserve">• project and specialty cargoes </w:t>
      </w:r>
    </w:p>
    <w:p w:rsidR="002F21A0" w:rsidRDefault="002F21A0" w:rsidP="002F21A0">
      <w:r>
        <w:t>• dry bulk</w:t>
      </w:r>
    </w:p>
    <w:p w:rsidR="002F21A0" w:rsidRDefault="002F21A0" w:rsidP="002F21A0"/>
    <w:p w:rsidR="002F21A0" w:rsidRDefault="002F21A0" w:rsidP="002F21A0">
      <w:r>
        <w:t xml:space="preserve">Key Tasks for 2011–12 are: </w:t>
      </w:r>
    </w:p>
    <w:p w:rsidR="002F21A0" w:rsidRDefault="002F21A0" w:rsidP="002F21A0"/>
    <w:p w:rsidR="002F21A0" w:rsidRDefault="002F21A0" w:rsidP="002F21A0">
      <w:r>
        <w:t xml:space="preserve">•  Execute Kooragang No.2 Strategy to provide for opportunities  for trade growth across all Newcastle Port Corporation common user berths </w:t>
      </w:r>
    </w:p>
    <w:p w:rsidR="002F21A0" w:rsidRDefault="002F21A0" w:rsidP="002F21A0">
      <w:r>
        <w:t>•  Execute Newcastle Port Corporation’s bulk liquid strategy for  bulk liquid facilities on the Mayfield site</w:t>
      </w:r>
    </w:p>
    <w:p w:rsidR="002F21A0" w:rsidRDefault="002F21A0" w:rsidP="002F21A0"/>
    <w:p w:rsidR="002F21A0" w:rsidRDefault="002F21A0" w:rsidP="002F21A0">
      <w:r>
        <w:t>Page 63</w:t>
      </w:r>
    </w:p>
    <w:p w:rsidR="002F21A0" w:rsidRDefault="002F21A0" w:rsidP="002F21A0"/>
    <w:p w:rsidR="002F21A0" w:rsidRPr="002F21A0" w:rsidRDefault="002F21A0" w:rsidP="002F21A0">
      <w:pPr>
        <w:rPr>
          <w:b/>
        </w:rPr>
      </w:pPr>
      <w:r w:rsidRPr="002F21A0">
        <w:rPr>
          <w:b/>
        </w:rPr>
        <w:t xml:space="preserve">Promoting Competition  </w:t>
      </w:r>
    </w:p>
    <w:p w:rsidR="002F21A0" w:rsidRDefault="002F21A0" w:rsidP="002F21A0"/>
    <w:p w:rsidR="002F21A0" w:rsidRDefault="002F21A0" w:rsidP="002F21A0">
      <w:r>
        <w:t xml:space="preserve">One of the objectives of Newcastle Port Corporation is to  promote and facilitate a competitive commercial environment  in port operations. </w:t>
      </w:r>
    </w:p>
    <w:p w:rsidR="002F21A0" w:rsidRDefault="002F21A0" w:rsidP="002F21A0"/>
    <w:p w:rsidR="002F21A0" w:rsidRDefault="002F21A0" w:rsidP="002F21A0">
      <w:r>
        <w:t xml:space="preserve">To achieve this objective the Board has endorsed the following priorities and strategies: </w:t>
      </w:r>
    </w:p>
    <w:p w:rsidR="002F21A0" w:rsidRDefault="002F21A0" w:rsidP="002F21A0">
      <w:r>
        <w:t xml:space="preserve">•  Newcastle Port Corporation will encourage viable competition within the Port of Newcastle </w:t>
      </w:r>
    </w:p>
    <w:p w:rsidR="002F21A0" w:rsidRDefault="002F21A0" w:rsidP="002F21A0">
      <w:r>
        <w:t xml:space="preserve">•  Newcastle Port Corporation will seek to prevent the use of port facilities or access to the Port of Newcastle by any port operator in a monopolistic or anti-competitive way </w:t>
      </w:r>
    </w:p>
    <w:p w:rsidR="002F21A0" w:rsidRDefault="002F21A0" w:rsidP="002F21A0">
      <w:r>
        <w:t xml:space="preserve">•  Newcastle Port Corporation will have regard to State and National competition issues when dealing with major port development projects </w:t>
      </w:r>
    </w:p>
    <w:p w:rsidR="002F21A0" w:rsidRDefault="002F21A0" w:rsidP="002F21A0"/>
    <w:p w:rsidR="002F21A0" w:rsidRDefault="002F21A0" w:rsidP="002F21A0">
      <w:r>
        <w:t xml:space="preserve">To ensure there is viable competition in the Port of Newcastle, Newcastle Port Corporation: </w:t>
      </w:r>
    </w:p>
    <w:p w:rsidR="002F21A0" w:rsidRDefault="002F21A0" w:rsidP="002F21A0">
      <w:r>
        <w:t xml:space="preserve">•  provides common user berth facilities in the port </w:t>
      </w:r>
    </w:p>
    <w:p w:rsidR="002F21A0" w:rsidRDefault="002F21A0" w:rsidP="002F21A0">
      <w:r>
        <w:t xml:space="preserve">•  utilises public competitive processes in the allocation of  port leases </w:t>
      </w:r>
    </w:p>
    <w:p w:rsidR="002F21A0" w:rsidRDefault="002F21A0" w:rsidP="002F21A0">
      <w:r>
        <w:t xml:space="preserve">•  ensures its pricing policy, leases and other arrangements encourage competitive behaviour and open access principles </w:t>
      </w:r>
    </w:p>
    <w:p w:rsidR="002F21A0" w:rsidRDefault="002F21A0" w:rsidP="002F21A0">
      <w:r>
        <w:t xml:space="preserve">•  incorporates strategies for fostering competition in Newcastle  Port Corporation’s key strategic policy documents such as  Leasing Policy, Strategic Development Plan and Pricing Policy </w:t>
      </w:r>
    </w:p>
    <w:p w:rsidR="002F21A0" w:rsidRDefault="002F21A0" w:rsidP="002F21A0"/>
    <w:p w:rsidR="002F21A0" w:rsidRDefault="002F21A0" w:rsidP="002F21A0">
      <w:r>
        <w:t xml:space="preserve">Key Task for 2011–12 is: </w:t>
      </w:r>
    </w:p>
    <w:p w:rsidR="002F21A0" w:rsidRDefault="002F21A0" w:rsidP="002F21A0">
      <w:r>
        <w:t>•  Execute Kooragang No.2 Strategy to provide for opportunities  for trade growth across all Newcastle Port Corporation common user berths through enhanced competition between stevedores</w:t>
      </w:r>
    </w:p>
    <w:p w:rsidR="0057709A" w:rsidRDefault="0057709A" w:rsidP="002F21A0"/>
    <w:p w:rsidR="0057709A" w:rsidRDefault="0057709A" w:rsidP="002F21A0">
      <w:r>
        <w:t>NPC Annual Report 2012-2013</w:t>
      </w:r>
    </w:p>
    <w:p w:rsidR="0057709A" w:rsidRDefault="0057709A" w:rsidP="002F21A0"/>
    <w:p w:rsidR="0057709A" w:rsidRDefault="0057709A" w:rsidP="002F21A0">
      <w:r>
        <w:t xml:space="preserve">Page 15 </w:t>
      </w:r>
    </w:p>
    <w:p w:rsidR="0057709A" w:rsidRDefault="0057709A" w:rsidP="002F21A0"/>
    <w:p w:rsidR="0057709A" w:rsidRDefault="0057709A" w:rsidP="002F21A0">
      <w:r w:rsidRPr="0057709A">
        <w:t>In landside developments, Newcastle Port Corporation continued negotiations with its preferred proponent for the future development of the 90 hectare Mayfield site. The former BHP Steelworks site has prime riverfront development opportunities for trade in bulk liquids, general purpose cargo and bulk and general cargo.</w:t>
      </w:r>
    </w:p>
    <w:p w:rsidR="003026F4" w:rsidRDefault="003026F4" w:rsidP="002F21A0"/>
    <w:p w:rsidR="00862B05" w:rsidRDefault="00862B05" w:rsidP="003026F4"/>
    <w:p w:rsidR="00862B05" w:rsidRDefault="00862B05" w:rsidP="003026F4"/>
    <w:p w:rsidR="00862B05" w:rsidRDefault="00862B05" w:rsidP="003026F4"/>
    <w:p w:rsidR="00862B05" w:rsidRDefault="00862B05" w:rsidP="003026F4"/>
    <w:p w:rsidR="00862B05" w:rsidRDefault="00862B05" w:rsidP="003026F4"/>
    <w:p w:rsidR="00862B05" w:rsidRDefault="00862B05" w:rsidP="003026F4"/>
    <w:p w:rsidR="00862B05" w:rsidRDefault="00862B05" w:rsidP="003026F4"/>
    <w:p w:rsidR="00862B05" w:rsidRDefault="00862B05" w:rsidP="003026F4"/>
    <w:p w:rsidR="003026F4" w:rsidRDefault="003026F4" w:rsidP="003026F4">
      <w:r>
        <w:lastRenderedPageBreak/>
        <w:t xml:space="preserve">Legislative Assembly </w:t>
      </w:r>
    </w:p>
    <w:p w:rsidR="003026F4" w:rsidRDefault="003026F4" w:rsidP="003026F4">
      <w:r>
        <w:t xml:space="preserve">March 6 2008 </w:t>
      </w:r>
    </w:p>
    <w:p w:rsidR="003026F4" w:rsidRPr="00842B60" w:rsidRDefault="003026F4" w:rsidP="003026F4">
      <w:pPr>
        <w:shd w:val="clear" w:color="auto" w:fill="FFFFFF"/>
        <w:spacing w:before="450" w:after="375" w:line="285" w:lineRule="atLeast"/>
        <w:outlineLvl w:val="0"/>
        <w:rPr>
          <w:rFonts w:ascii="Century Gothic" w:eastAsia="Times New Roman" w:hAnsi="Century Gothic"/>
          <w:color w:val="205942"/>
          <w:kern w:val="36"/>
          <w:sz w:val="28"/>
          <w:szCs w:val="28"/>
          <w:lang w:eastAsia="en-AU"/>
        </w:rPr>
      </w:pPr>
      <w:r w:rsidRPr="00842B60">
        <w:rPr>
          <w:rFonts w:ascii="Century Gothic" w:eastAsia="Times New Roman" w:hAnsi="Century Gothic"/>
          <w:color w:val="205942"/>
          <w:kern w:val="36"/>
          <w:sz w:val="28"/>
          <w:szCs w:val="28"/>
          <w:lang w:eastAsia="en-AU"/>
        </w:rPr>
        <w:t>Newcastle Port Development</w:t>
      </w:r>
    </w:p>
    <w:p w:rsidR="003026F4" w:rsidRPr="00842B60" w:rsidRDefault="003026F4" w:rsidP="003026F4">
      <w:pPr>
        <w:rPr>
          <w:rFonts w:ascii="Times New Roman" w:eastAsia="Times New Roman" w:hAnsi="Times New Roman"/>
          <w:sz w:val="24"/>
          <w:lang w:eastAsia="en-AU"/>
        </w:rPr>
      </w:pPr>
      <w:r w:rsidRPr="00842B60">
        <w:rPr>
          <w:rFonts w:ascii="Arial" w:eastAsia="Times New Roman" w:hAnsi="Arial" w:cs="Arial"/>
          <w:color w:val="666666"/>
          <w:sz w:val="19"/>
          <w:szCs w:val="19"/>
          <w:lang w:eastAsia="en-AU"/>
        </w:rPr>
        <w:br/>
      </w:r>
    </w:p>
    <w:tbl>
      <w:tblPr>
        <w:tblW w:w="10200" w:type="dxa"/>
        <w:tblCellSpacing w:w="0" w:type="dxa"/>
        <w:shd w:val="clear" w:color="auto" w:fill="FFFFFF"/>
        <w:tblCellMar>
          <w:left w:w="0" w:type="dxa"/>
          <w:right w:w="0" w:type="dxa"/>
        </w:tblCellMar>
        <w:tblLook w:val="04A0" w:firstRow="1" w:lastRow="0" w:firstColumn="1" w:lastColumn="0" w:noHBand="0" w:noVBand="1"/>
      </w:tblPr>
      <w:tblGrid>
        <w:gridCol w:w="2370"/>
        <w:gridCol w:w="7830"/>
      </w:tblGrid>
      <w:tr w:rsidR="003026F4" w:rsidRPr="00842B60" w:rsidTr="00650B98">
        <w:trPr>
          <w:tblCellSpacing w:w="0" w:type="dxa"/>
        </w:trPr>
        <w:tc>
          <w:tcPr>
            <w:tcW w:w="0" w:type="auto"/>
            <w:gridSpan w:val="2"/>
            <w:shd w:val="clear" w:color="auto" w:fill="205942"/>
            <w:tcMar>
              <w:top w:w="30" w:type="dxa"/>
              <w:left w:w="75" w:type="dxa"/>
              <w:bottom w:w="30" w:type="dxa"/>
              <w:right w:w="75" w:type="dxa"/>
            </w:tcMar>
            <w:hideMark/>
          </w:tcPr>
          <w:p w:rsidR="003026F4" w:rsidRPr="00842B60" w:rsidRDefault="003026F4" w:rsidP="00650B98">
            <w:pPr>
              <w:spacing w:before="150" w:after="150"/>
              <w:rPr>
                <w:rFonts w:ascii="Century Gothic" w:eastAsia="Times New Roman" w:hAnsi="Century Gothic" w:cs="Arial"/>
                <w:color w:val="FFFFFF"/>
                <w:sz w:val="19"/>
                <w:szCs w:val="19"/>
                <w:lang w:eastAsia="en-AU"/>
              </w:rPr>
            </w:pPr>
            <w:r w:rsidRPr="00842B60">
              <w:rPr>
                <w:rFonts w:ascii="Century Gothic" w:eastAsia="Times New Roman" w:hAnsi="Century Gothic" w:cs="Arial"/>
                <w:color w:val="FFFFFF"/>
                <w:sz w:val="19"/>
                <w:szCs w:val="19"/>
                <w:lang w:eastAsia="en-AU"/>
              </w:rPr>
              <w:t>About this Item</w:t>
            </w:r>
          </w:p>
        </w:tc>
      </w:tr>
      <w:tr w:rsidR="003026F4" w:rsidRPr="00842B60" w:rsidTr="00650B98">
        <w:trPr>
          <w:tblCellSpacing w:w="0" w:type="dxa"/>
        </w:trPr>
        <w:tc>
          <w:tcPr>
            <w:tcW w:w="0" w:type="auto"/>
            <w:tcBorders>
              <w:bottom w:val="single" w:sz="6" w:space="0" w:color="CCCCCC"/>
            </w:tcBorders>
            <w:shd w:val="clear" w:color="auto" w:fill="FFFFFF"/>
            <w:tcMar>
              <w:top w:w="30" w:type="dxa"/>
              <w:left w:w="75" w:type="dxa"/>
              <w:bottom w:w="30" w:type="dxa"/>
              <w:right w:w="75" w:type="dxa"/>
            </w:tcMar>
            <w:hideMark/>
          </w:tcPr>
          <w:p w:rsidR="003026F4" w:rsidRPr="00842B60" w:rsidRDefault="003026F4" w:rsidP="00650B98">
            <w:pPr>
              <w:spacing w:before="150" w:after="150"/>
              <w:rPr>
                <w:rFonts w:ascii="Arial" w:eastAsia="Times New Roman" w:hAnsi="Arial" w:cs="Arial"/>
                <w:color w:val="666666"/>
                <w:sz w:val="19"/>
                <w:szCs w:val="19"/>
                <w:lang w:eastAsia="en-AU"/>
              </w:rPr>
            </w:pPr>
            <w:r w:rsidRPr="00842B60">
              <w:rPr>
                <w:rFonts w:ascii="Arial" w:eastAsia="Times New Roman" w:hAnsi="Arial" w:cs="Arial"/>
                <w:color w:val="666666"/>
                <w:sz w:val="19"/>
                <w:szCs w:val="19"/>
                <w:lang w:eastAsia="en-AU"/>
              </w:rPr>
              <w:t>Speakers</w:t>
            </w:r>
          </w:p>
        </w:tc>
        <w:tc>
          <w:tcPr>
            <w:tcW w:w="0" w:type="auto"/>
            <w:tcBorders>
              <w:bottom w:val="single" w:sz="6" w:space="0" w:color="CCCCCC"/>
            </w:tcBorders>
            <w:shd w:val="clear" w:color="auto" w:fill="FFFFFF"/>
            <w:tcMar>
              <w:top w:w="30" w:type="dxa"/>
              <w:left w:w="75" w:type="dxa"/>
              <w:bottom w:w="30" w:type="dxa"/>
              <w:right w:w="75" w:type="dxa"/>
            </w:tcMar>
            <w:hideMark/>
          </w:tcPr>
          <w:p w:rsidR="003026F4" w:rsidRPr="00842B60" w:rsidRDefault="003026F4" w:rsidP="00650B98">
            <w:pPr>
              <w:spacing w:before="150" w:after="150"/>
              <w:rPr>
                <w:rFonts w:ascii="Arial" w:eastAsia="Times New Roman" w:hAnsi="Arial" w:cs="Arial"/>
                <w:color w:val="666666"/>
                <w:sz w:val="19"/>
                <w:szCs w:val="19"/>
                <w:lang w:eastAsia="en-AU"/>
              </w:rPr>
            </w:pPr>
            <w:hyperlink r:id="rId5" w:history="1">
              <w:r w:rsidRPr="00842B60">
                <w:rPr>
                  <w:rFonts w:ascii="Arial" w:eastAsia="Times New Roman" w:hAnsi="Arial" w:cs="Arial"/>
                  <w:color w:val="0D538B"/>
                  <w:sz w:val="19"/>
                  <w:szCs w:val="19"/>
                  <w:lang w:eastAsia="en-AU"/>
                </w:rPr>
                <w:t>McKay Ms Jodi</w:t>
              </w:r>
            </w:hyperlink>
          </w:p>
        </w:tc>
      </w:tr>
      <w:tr w:rsidR="003026F4" w:rsidRPr="00842B60" w:rsidTr="00650B98">
        <w:trPr>
          <w:tblCellSpacing w:w="0" w:type="dxa"/>
        </w:trPr>
        <w:tc>
          <w:tcPr>
            <w:tcW w:w="0" w:type="auto"/>
            <w:tcBorders>
              <w:bottom w:val="single" w:sz="6" w:space="0" w:color="CCCCCC"/>
            </w:tcBorders>
            <w:shd w:val="clear" w:color="auto" w:fill="FFFFFF"/>
            <w:tcMar>
              <w:top w:w="30" w:type="dxa"/>
              <w:left w:w="75" w:type="dxa"/>
              <w:bottom w:w="30" w:type="dxa"/>
              <w:right w:w="75" w:type="dxa"/>
            </w:tcMar>
            <w:hideMark/>
          </w:tcPr>
          <w:p w:rsidR="003026F4" w:rsidRPr="00842B60" w:rsidRDefault="003026F4" w:rsidP="00650B98">
            <w:pPr>
              <w:spacing w:before="150" w:after="150"/>
              <w:rPr>
                <w:rFonts w:ascii="Arial" w:eastAsia="Times New Roman" w:hAnsi="Arial" w:cs="Arial"/>
                <w:color w:val="666666"/>
                <w:sz w:val="19"/>
                <w:szCs w:val="19"/>
                <w:lang w:eastAsia="en-AU"/>
              </w:rPr>
            </w:pPr>
            <w:r w:rsidRPr="00842B60">
              <w:rPr>
                <w:rFonts w:ascii="Arial" w:eastAsia="Times New Roman" w:hAnsi="Arial" w:cs="Arial"/>
                <w:color w:val="666666"/>
                <w:sz w:val="19"/>
                <w:szCs w:val="19"/>
                <w:lang w:eastAsia="en-AU"/>
              </w:rPr>
              <w:t>Business</w:t>
            </w:r>
          </w:p>
        </w:tc>
        <w:tc>
          <w:tcPr>
            <w:tcW w:w="0" w:type="auto"/>
            <w:tcBorders>
              <w:bottom w:val="single" w:sz="6" w:space="0" w:color="CCCCCC"/>
            </w:tcBorders>
            <w:shd w:val="clear" w:color="auto" w:fill="FFFFFF"/>
            <w:tcMar>
              <w:top w:w="30" w:type="dxa"/>
              <w:left w:w="75" w:type="dxa"/>
              <w:bottom w:w="30" w:type="dxa"/>
              <w:right w:w="75" w:type="dxa"/>
            </w:tcMar>
            <w:hideMark/>
          </w:tcPr>
          <w:p w:rsidR="003026F4" w:rsidRPr="00842B60" w:rsidRDefault="003026F4" w:rsidP="00650B98">
            <w:pPr>
              <w:spacing w:before="150" w:after="150"/>
              <w:rPr>
                <w:rFonts w:ascii="Arial" w:eastAsia="Times New Roman" w:hAnsi="Arial" w:cs="Arial"/>
                <w:color w:val="666666"/>
                <w:sz w:val="19"/>
                <w:szCs w:val="19"/>
                <w:lang w:eastAsia="en-AU"/>
              </w:rPr>
            </w:pPr>
            <w:r w:rsidRPr="00842B60">
              <w:rPr>
                <w:rFonts w:ascii="Arial" w:eastAsia="Times New Roman" w:hAnsi="Arial" w:cs="Arial"/>
                <w:color w:val="666666"/>
                <w:sz w:val="19"/>
                <w:szCs w:val="19"/>
                <w:lang w:eastAsia="en-AU"/>
              </w:rPr>
              <w:t>Private Members Statements, PRIV</w:t>
            </w:r>
          </w:p>
        </w:tc>
      </w:tr>
    </w:tbl>
    <w:p w:rsidR="003026F4" w:rsidRPr="00842B60" w:rsidRDefault="003026F4" w:rsidP="003026F4">
      <w:pPr>
        <w:shd w:val="clear" w:color="auto" w:fill="FFFFFF"/>
        <w:spacing w:after="240" w:line="285" w:lineRule="atLeast"/>
        <w:rPr>
          <w:rFonts w:ascii="Arial" w:eastAsia="Times New Roman" w:hAnsi="Arial" w:cs="Arial"/>
          <w:color w:val="666666"/>
          <w:sz w:val="19"/>
          <w:szCs w:val="19"/>
          <w:lang w:eastAsia="en-AU"/>
        </w:rPr>
      </w:pPr>
    </w:p>
    <w:p w:rsidR="003026F4" w:rsidRPr="00842B60" w:rsidRDefault="003026F4" w:rsidP="003026F4">
      <w:pPr>
        <w:shd w:val="clear" w:color="auto" w:fill="FFFFFF"/>
        <w:spacing w:line="285" w:lineRule="atLeast"/>
        <w:jc w:val="center"/>
        <w:rPr>
          <w:rFonts w:ascii="Arial" w:eastAsia="Times New Roman" w:hAnsi="Arial" w:cs="Arial"/>
          <w:color w:val="0D538B"/>
          <w:sz w:val="19"/>
          <w:szCs w:val="19"/>
          <w:lang w:eastAsia="en-AU"/>
        </w:rPr>
      </w:pPr>
      <w:r w:rsidRPr="00842B60">
        <w:rPr>
          <w:rFonts w:ascii="Arial" w:eastAsia="Times New Roman" w:hAnsi="Arial" w:cs="Arial"/>
          <w:b/>
          <w:bCs/>
          <w:color w:val="0D538B"/>
          <w:sz w:val="19"/>
          <w:szCs w:val="19"/>
          <w:lang w:eastAsia="en-AU"/>
        </w:rPr>
        <w:t>NEWCASTLE PORT DEVELOPMENT</w:t>
      </w:r>
    </w:p>
    <w:p w:rsidR="003026F4" w:rsidRPr="00842B60" w:rsidRDefault="003026F4" w:rsidP="003026F4">
      <w:pPr>
        <w:shd w:val="clear" w:color="auto" w:fill="FFFFFF"/>
        <w:spacing w:line="285" w:lineRule="atLeast"/>
        <w:jc w:val="right"/>
        <w:rPr>
          <w:rFonts w:ascii="Arial" w:eastAsia="Times New Roman" w:hAnsi="Arial" w:cs="Arial"/>
          <w:color w:val="666666"/>
          <w:sz w:val="19"/>
          <w:szCs w:val="19"/>
          <w:lang w:eastAsia="en-AU"/>
        </w:rPr>
      </w:pPr>
      <w:r w:rsidRPr="00842B60">
        <w:rPr>
          <w:rFonts w:ascii="Arial" w:eastAsia="Times New Roman" w:hAnsi="Arial" w:cs="Arial"/>
          <w:color w:val="666666"/>
          <w:sz w:val="19"/>
          <w:szCs w:val="19"/>
          <w:lang w:eastAsia="en-AU"/>
        </w:rPr>
        <w:t>Page: 6069</w:t>
      </w:r>
    </w:p>
    <w:p w:rsidR="003026F4" w:rsidRPr="00842B60" w:rsidRDefault="003026F4" w:rsidP="003026F4">
      <w:pPr>
        <w:shd w:val="clear" w:color="auto" w:fill="FFFFFF"/>
        <w:spacing w:line="285" w:lineRule="atLeast"/>
        <w:rPr>
          <w:rFonts w:ascii="Arial" w:eastAsia="Times New Roman" w:hAnsi="Arial" w:cs="Arial"/>
          <w:color w:val="666666"/>
          <w:sz w:val="19"/>
          <w:szCs w:val="19"/>
          <w:lang w:eastAsia="en-AU"/>
        </w:rPr>
      </w:pPr>
      <w:r w:rsidRPr="00842B60">
        <w:rPr>
          <w:rFonts w:ascii="Arial" w:eastAsia="Times New Roman" w:hAnsi="Arial" w:cs="Arial"/>
          <w:color w:val="666666"/>
          <w:sz w:val="19"/>
          <w:szCs w:val="19"/>
          <w:lang w:eastAsia="en-AU"/>
        </w:rPr>
        <w:br/>
      </w:r>
      <w:r w:rsidRPr="00842B60">
        <w:rPr>
          <w:rFonts w:ascii="Arial" w:eastAsia="Times New Roman" w:hAnsi="Arial" w:cs="Arial"/>
          <w:b/>
          <w:bCs/>
          <w:color w:val="666666"/>
          <w:sz w:val="19"/>
          <w:szCs w:val="19"/>
          <w:lang w:eastAsia="en-AU"/>
        </w:rPr>
        <w:t>Ms JODI McKAY </w:t>
      </w:r>
      <w:r w:rsidRPr="00842B60">
        <w:rPr>
          <w:rFonts w:ascii="Arial" w:eastAsia="Times New Roman" w:hAnsi="Arial" w:cs="Arial"/>
          <w:color w:val="666666"/>
          <w:sz w:val="19"/>
          <w:szCs w:val="19"/>
          <w:lang w:eastAsia="en-AU"/>
        </w:rPr>
        <w:t>(Newcastle) [3.47 p.m.]: I bring to the attention of the House the recent initiatives of the New South Wales Government in supporting the development of the port of Newcastle. Newcastle is one of the world's largest coal export ports, setting a new record for coal exports last year of 80.8 million tonnes. This record would have been even greater if not for the devastating storms experienced last June. The performance is set to continue, with the port achieving a new half-year record of 44.5 million tonnes for the second half of 2007 and a record month for coal exports in December, with 8.3 million tonnes shipped.</w:t>
      </w:r>
      <w:r w:rsidRPr="00842B60">
        <w:rPr>
          <w:rFonts w:ascii="Arial" w:eastAsia="Times New Roman" w:hAnsi="Arial" w:cs="Arial"/>
          <w:color w:val="666666"/>
          <w:sz w:val="19"/>
          <w:szCs w:val="19"/>
          <w:lang w:eastAsia="en-AU"/>
        </w:rPr>
        <w:br/>
      </w:r>
      <w:r w:rsidRPr="00842B60">
        <w:rPr>
          <w:rFonts w:ascii="Arial" w:eastAsia="Times New Roman" w:hAnsi="Arial" w:cs="Arial"/>
          <w:color w:val="666666"/>
          <w:sz w:val="19"/>
          <w:szCs w:val="19"/>
          <w:lang w:eastAsia="en-AU"/>
        </w:rPr>
        <w:br/>
        <w:t>The New South Wales Government is working with the coal industry to achieve the continued growth of the Hunter coal industry. In January, the New South Wales Government signed a 35-year lease with the Newcastle Coal Infrastructure Group for the development of a new coal loading terminal at the port of Newcastle, with a capacity of up to 66 million tonnes per annum. This project is expected to make a $1.5 billion contribution to our gross domestic product and create up to 5,000 jobs across New South Wales. In addition, in April last year the Government approved the expansion of the existing Port Waratah Coal Services coal terminal from 102 million tonnes to 140 million tonnes per annum. These new developments are important steps towards meeting the world's demand for Hunter coal, which continues to grow due to the quality of the coal available in the Hunter. Hunter coal has an international reputation that we in the region are very proud of.</w:t>
      </w:r>
      <w:r w:rsidRPr="00842B60">
        <w:rPr>
          <w:rFonts w:ascii="Arial" w:eastAsia="Times New Roman" w:hAnsi="Arial" w:cs="Arial"/>
          <w:color w:val="666666"/>
          <w:sz w:val="19"/>
          <w:szCs w:val="19"/>
          <w:lang w:eastAsia="en-AU"/>
        </w:rPr>
        <w:br/>
      </w:r>
      <w:r w:rsidRPr="00842B60">
        <w:rPr>
          <w:rFonts w:ascii="Arial" w:eastAsia="Times New Roman" w:hAnsi="Arial" w:cs="Arial"/>
          <w:color w:val="666666"/>
          <w:sz w:val="19"/>
          <w:szCs w:val="19"/>
          <w:lang w:eastAsia="en-AU"/>
        </w:rPr>
        <w:br/>
        <w:t>The size of the demand, and how fast it has grown, means the industry needs to find new ways to manage coal exports from the region. On Monday 3 March the Australian Consumer and Competition Commission issued a draft decision to authorise the common user provisions required to manage coal exports from the Hunter. This will provide a fair allocation system for managing coal export systems until the end of 2008, giving the coal industry a chance to decide how to manage coal exports in the long term. I welcome the Hon. Nick Greiner's involvement in helping the coal industry to reach an agreement on this long-term plan. The former New South Wales Premier was in Newcastle yesterday for the Hunter Valley coal chain logistics meeting.</w:t>
      </w:r>
      <w:r w:rsidRPr="00842B60">
        <w:rPr>
          <w:rFonts w:ascii="Arial" w:eastAsia="Times New Roman" w:hAnsi="Arial" w:cs="Arial"/>
          <w:color w:val="666666"/>
          <w:sz w:val="19"/>
          <w:szCs w:val="19"/>
          <w:lang w:eastAsia="en-AU"/>
        </w:rPr>
        <w:br/>
      </w:r>
      <w:r w:rsidRPr="00842B60">
        <w:rPr>
          <w:rFonts w:ascii="Arial" w:eastAsia="Times New Roman" w:hAnsi="Arial" w:cs="Arial"/>
          <w:color w:val="666666"/>
          <w:sz w:val="19"/>
          <w:szCs w:val="19"/>
          <w:lang w:eastAsia="en-AU"/>
        </w:rPr>
        <w:br/>
        <w:t xml:space="preserve">It is important to note that the port of Newcastle enjoys a strong future beyond coal. The New South Wales Government's Ports Growth Plan identifies Newcastle as the location of the next major container terminal once Port Botany reaches capacity. Port Botany experienced a massive 12 per cent growth in container </w:t>
      </w:r>
      <w:r w:rsidRPr="00842B60">
        <w:rPr>
          <w:rFonts w:ascii="Arial" w:eastAsia="Times New Roman" w:hAnsi="Arial" w:cs="Arial"/>
          <w:color w:val="666666"/>
          <w:sz w:val="19"/>
          <w:szCs w:val="19"/>
          <w:lang w:eastAsia="en-AU"/>
        </w:rPr>
        <w:lastRenderedPageBreak/>
        <w:t>trade last year—that is twice the forecast level of growth. If the container growth through Sydney continues to accelerate at that rate Newcastle may be in the container business far earlier than we originally expected. The former BHP site at Mayfield, now called the Intertrade Industrial Park, is the strategic site for container stevedoring in Newcastle. The master plan identifies 30 hectares for a container trade future, and that future is getting closer.</w:t>
      </w:r>
      <w:r w:rsidRPr="00842B60">
        <w:rPr>
          <w:rFonts w:ascii="Arial" w:eastAsia="Times New Roman" w:hAnsi="Arial" w:cs="Arial"/>
          <w:color w:val="666666"/>
          <w:sz w:val="19"/>
          <w:szCs w:val="19"/>
          <w:lang w:eastAsia="en-AU"/>
        </w:rPr>
        <w:br/>
      </w:r>
      <w:r w:rsidRPr="00842B60">
        <w:rPr>
          <w:rFonts w:ascii="Arial" w:eastAsia="Times New Roman" w:hAnsi="Arial" w:cs="Arial"/>
          <w:color w:val="666666"/>
          <w:sz w:val="19"/>
          <w:szCs w:val="19"/>
          <w:lang w:eastAsia="en-AU"/>
        </w:rPr>
        <w:br/>
        <w:t>Premier Iemma announced last year that the New South Wales Government, through the Newcastle Port Corporation, will commit $22 million to the project. In January I announced a national call to tenders to carry out the multi-million dollar redevelopment of wharf infrastructure at the Mayfield site. That project includes a 265-metre berth due to be built on the site plus the construction of eight hectares of hardstand behind the wharf on the Hunter River. The hardstand construction may include facilities such as covered or uncovered storage, cargo and container storage areas, services and amenities. The project will facilitate trade growth and allow the port of Newcastle to establish new functions complementary to other New South Wales ports. The continued diversification of the port will also be assisted by the Government's announcement to consolidate ownership of Newcastle port lands with the Newcastle Port Corporation. Consolidation of government land ownership at the port will strengthen its position as a world-leading coal export port.</w:t>
      </w:r>
      <w:r w:rsidRPr="00842B60">
        <w:rPr>
          <w:rFonts w:ascii="Arial" w:eastAsia="Times New Roman" w:hAnsi="Arial" w:cs="Arial"/>
          <w:color w:val="666666"/>
          <w:sz w:val="19"/>
          <w:szCs w:val="19"/>
          <w:lang w:eastAsia="en-AU"/>
        </w:rPr>
        <w:br/>
      </w:r>
      <w:r w:rsidRPr="00842B60">
        <w:rPr>
          <w:rFonts w:ascii="Arial" w:eastAsia="Times New Roman" w:hAnsi="Arial" w:cs="Arial"/>
          <w:color w:val="666666"/>
          <w:sz w:val="19"/>
          <w:szCs w:val="19"/>
          <w:lang w:eastAsia="en-AU"/>
        </w:rPr>
        <w:br/>
        <w:t>The Government has begun transferring ownership to the Newcastle Port Corporation, creating efficiencies for the port and the Hunter region. Consolidation will see 470 hectares of land pass into Newcastle Port Corporation ownership. This includes the 90 hectares of waterfront land at the Intertrade Industrial Park, including the future container terminal. Proponents of investment now will be able to deal with a single entity that is able to assist with land and waterside requirements. Cutting red tape in this way means greater efficiency and reduced costs. The Newcastle Port Corporation is also working on a 20-year development plan aimed at helping the coal industry, including the new coal terminal project that is due in 2010.</w:t>
      </w:r>
      <w:r w:rsidRPr="00842B60">
        <w:rPr>
          <w:rFonts w:ascii="Arial" w:eastAsia="Times New Roman" w:hAnsi="Arial" w:cs="Arial"/>
          <w:color w:val="666666"/>
          <w:sz w:val="19"/>
          <w:szCs w:val="19"/>
          <w:lang w:eastAsia="en-AU"/>
        </w:rPr>
        <w:br/>
      </w:r>
      <w:r w:rsidRPr="00842B60">
        <w:rPr>
          <w:rFonts w:ascii="Arial" w:eastAsia="Times New Roman" w:hAnsi="Arial" w:cs="Arial"/>
          <w:color w:val="666666"/>
          <w:sz w:val="19"/>
          <w:szCs w:val="19"/>
          <w:lang w:eastAsia="en-AU"/>
        </w:rPr>
        <w:br/>
        <w:t>Further, the plan will prepare the port for other opportunities to diversify its business. One new venture worth noting is the alignment of Cruise Hunter to the auspices of the Newcastle Port Corporation. This successful regional project has relocated to the Newcastle Port Corporation to allow further development of this niche market. So far it is working well, with international cruise ship visits contributing almost $1 million to the Hunter economy in the first quarter of this year. All these initiatives are aimed at improving the port's competitive advantage, helping to achieve growth and diversification. Once completed the expansion of the coal industry and the continued diversification of the port are expected to provide up to 12,000 new jobs and increase gross domestic product by $1.5 billion per year. This is further evidence that the Iemma Government is getting on with the job and delivering results in Newcastle.</w:t>
      </w:r>
    </w:p>
    <w:p w:rsidR="003026F4" w:rsidRDefault="003026F4" w:rsidP="003026F4"/>
    <w:p w:rsidR="003026F4" w:rsidRDefault="003026F4" w:rsidP="003026F4">
      <w:pPr>
        <w:shd w:val="clear" w:color="auto" w:fill="FFFFFF"/>
        <w:rPr>
          <w:rStyle w:val="apple-converted-space"/>
          <w:rFonts w:ascii="Arial" w:hAnsi="Arial" w:cs="Arial"/>
          <w:color w:val="888888"/>
          <w:sz w:val="16"/>
          <w:szCs w:val="16"/>
        </w:rPr>
      </w:pPr>
      <w:r>
        <w:rPr>
          <w:rStyle w:val="apple-converted-space"/>
          <w:rFonts w:ascii="Arial" w:hAnsi="Arial" w:cs="Arial"/>
          <w:color w:val="888888"/>
          <w:sz w:val="16"/>
          <w:szCs w:val="16"/>
        </w:rPr>
        <w:t> </w:t>
      </w:r>
    </w:p>
    <w:p w:rsidR="00862B05" w:rsidRDefault="00862B05" w:rsidP="003026F4">
      <w:pPr>
        <w:shd w:val="clear" w:color="auto" w:fill="FFFFFF"/>
        <w:rPr>
          <w:rStyle w:val="apple-converted-space"/>
          <w:rFonts w:ascii="Arial" w:hAnsi="Arial" w:cs="Arial"/>
          <w:color w:val="888888"/>
          <w:sz w:val="16"/>
          <w:szCs w:val="16"/>
        </w:rPr>
      </w:pPr>
    </w:p>
    <w:p w:rsidR="00862B05" w:rsidRDefault="00862B05" w:rsidP="003026F4">
      <w:pPr>
        <w:shd w:val="clear" w:color="auto" w:fill="FFFFFF"/>
        <w:rPr>
          <w:rStyle w:val="apple-converted-space"/>
          <w:rFonts w:ascii="Arial" w:hAnsi="Arial" w:cs="Arial"/>
          <w:color w:val="888888"/>
          <w:sz w:val="16"/>
          <w:szCs w:val="16"/>
        </w:rPr>
      </w:pPr>
    </w:p>
    <w:p w:rsidR="00862B05" w:rsidRDefault="00862B05" w:rsidP="003026F4">
      <w:pPr>
        <w:shd w:val="clear" w:color="auto" w:fill="FFFFFF"/>
        <w:rPr>
          <w:rStyle w:val="apple-converted-space"/>
          <w:rFonts w:ascii="Arial" w:hAnsi="Arial" w:cs="Arial"/>
          <w:color w:val="888888"/>
          <w:sz w:val="16"/>
          <w:szCs w:val="16"/>
        </w:rPr>
      </w:pPr>
    </w:p>
    <w:p w:rsidR="00862B05" w:rsidRDefault="00862B05" w:rsidP="003026F4">
      <w:pPr>
        <w:shd w:val="clear" w:color="auto" w:fill="FFFFFF"/>
        <w:rPr>
          <w:rStyle w:val="apple-converted-space"/>
          <w:rFonts w:ascii="Arial" w:hAnsi="Arial" w:cs="Arial"/>
          <w:color w:val="888888"/>
          <w:sz w:val="16"/>
          <w:szCs w:val="16"/>
        </w:rPr>
      </w:pPr>
    </w:p>
    <w:p w:rsidR="00862B05" w:rsidRDefault="00862B05" w:rsidP="003026F4">
      <w:pPr>
        <w:shd w:val="clear" w:color="auto" w:fill="FFFFFF"/>
        <w:rPr>
          <w:rStyle w:val="apple-converted-space"/>
          <w:rFonts w:ascii="Arial" w:hAnsi="Arial" w:cs="Arial"/>
          <w:color w:val="888888"/>
          <w:sz w:val="16"/>
          <w:szCs w:val="16"/>
        </w:rPr>
      </w:pPr>
    </w:p>
    <w:p w:rsidR="00862B05" w:rsidRDefault="00862B05" w:rsidP="003026F4">
      <w:pPr>
        <w:shd w:val="clear" w:color="auto" w:fill="FFFFFF"/>
        <w:rPr>
          <w:rStyle w:val="apple-converted-space"/>
          <w:rFonts w:ascii="Arial" w:hAnsi="Arial" w:cs="Arial"/>
          <w:color w:val="888888"/>
          <w:sz w:val="16"/>
          <w:szCs w:val="16"/>
        </w:rPr>
      </w:pPr>
    </w:p>
    <w:p w:rsidR="00862B05" w:rsidRDefault="00862B05" w:rsidP="003026F4">
      <w:pPr>
        <w:shd w:val="clear" w:color="auto" w:fill="FFFFFF"/>
        <w:rPr>
          <w:rStyle w:val="apple-converted-space"/>
          <w:rFonts w:ascii="Arial" w:hAnsi="Arial" w:cs="Arial"/>
          <w:color w:val="888888"/>
          <w:sz w:val="16"/>
          <w:szCs w:val="16"/>
        </w:rPr>
      </w:pPr>
    </w:p>
    <w:p w:rsidR="00862B05" w:rsidRDefault="00862B05" w:rsidP="003026F4">
      <w:pPr>
        <w:shd w:val="clear" w:color="auto" w:fill="FFFFFF"/>
        <w:rPr>
          <w:rStyle w:val="apple-converted-space"/>
          <w:rFonts w:ascii="Arial" w:hAnsi="Arial" w:cs="Arial"/>
          <w:color w:val="888888"/>
          <w:sz w:val="16"/>
          <w:szCs w:val="16"/>
        </w:rPr>
      </w:pPr>
    </w:p>
    <w:p w:rsidR="00862B05" w:rsidRDefault="00862B05" w:rsidP="003026F4">
      <w:pPr>
        <w:shd w:val="clear" w:color="auto" w:fill="FFFFFF"/>
        <w:rPr>
          <w:rStyle w:val="apple-converted-space"/>
          <w:rFonts w:ascii="Arial" w:hAnsi="Arial" w:cs="Arial"/>
          <w:color w:val="888888"/>
          <w:sz w:val="16"/>
          <w:szCs w:val="16"/>
        </w:rPr>
      </w:pPr>
    </w:p>
    <w:p w:rsidR="00862B05" w:rsidRDefault="00862B05" w:rsidP="003026F4">
      <w:pPr>
        <w:shd w:val="clear" w:color="auto" w:fill="FFFFFF"/>
        <w:rPr>
          <w:rStyle w:val="apple-converted-space"/>
          <w:rFonts w:ascii="Arial" w:hAnsi="Arial" w:cs="Arial"/>
          <w:color w:val="888888"/>
          <w:sz w:val="16"/>
          <w:szCs w:val="16"/>
        </w:rPr>
      </w:pPr>
    </w:p>
    <w:p w:rsidR="00862B05" w:rsidRDefault="00862B05" w:rsidP="003026F4">
      <w:pPr>
        <w:shd w:val="clear" w:color="auto" w:fill="FFFFFF"/>
        <w:rPr>
          <w:rStyle w:val="apple-converted-space"/>
          <w:rFonts w:ascii="Arial" w:hAnsi="Arial" w:cs="Arial"/>
          <w:color w:val="888888"/>
          <w:sz w:val="16"/>
          <w:szCs w:val="16"/>
        </w:rPr>
      </w:pPr>
    </w:p>
    <w:p w:rsidR="00862B05" w:rsidRDefault="00862B05" w:rsidP="003026F4">
      <w:pPr>
        <w:shd w:val="clear" w:color="auto" w:fill="FFFFFF"/>
        <w:rPr>
          <w:rStyle w:val="apple-converted-space"/>
          <w:rFonts w:ascii="Arial" w:hAnsi="Arial" w:cs="Arial"/>
          <w:color w:val="888888"/>
          <w:sz w:val="16"/>
          <w:szCs w:val="16"/>
        </w:rPr>
      </w:pPr>
    </w:p>
    <w:p w:rsidR="00862B05" w:rsidRDefault="00862B05" w:rsidP="003026F4">
      <w:pPr>
        <w:shd w:val="clear" w:color="auto" w:fill="FFFFFF"/>
        <w:rPr>
          <w:rStyle w:val="apple-converted-space"/>
          <w:rFonts w:ascii="Arial" w:hAnsi="Arial" w:cs="Arial"/>
          <w:color w:val="888888"/>
          <w:sz w:val="16"/>
          <w:szCs w:val="16"/>
        </w:rPr>
      </w:pPr>
    </w:p>
    <w:p w:rsidR="00862B05" w:rsidRDefault="00862B05" w:rsidP="003026F4">
      <w:pPr>
        <w:shd w:val="clear" w:color="auto" w:fill="FFFFFF"/>
        <w:rPr>
          <w:rStyle w:val="apple-converted-space"/>
          <w:rFonts w:ascii="Arial" w:hAnsi="Arial" w:cs="Arial"/>
          <w:color w:val="888888"/>
          <w:sz w:val="16"/>
          <w:szCs w:val="16"/>
        </w:rPr>
      </w:pPr>
    </w:p>
    <w:p w:rsidR="00862B05" w:rsidRDefault="00862B05" w:rsidP="003026F4">
      <w:pPr>
        <w:shd w:val="clear" w:color="auto" w:fill="FFFFFF"/>
        <w:rPr>
          <w:rStyle w:val="apple-converted-space"/>
          <w:rFonts w:ascii="Arial" w:hAnsi="Arial" w:cs="Arial"/>
          <w:color w:val="888888"/>
          <w:sz w:val="16"/>
          <w:szCs w:val="16"/>
        </w:rPr>
      </w:pPr>
    </w:p>
    <w:p w:rsidR="00862B05" w:rsidRDefault="00862B05" w:rsidP="003026F4">
      <w:pPr>
        <w:shd w:val="clear" w:color="auto" w:fill="FFFFFF"/>
        <w:rPr>
          <w:rFonts w:ascii="Arial" w:hAnsi="Arial" w:cs="Arial"/>
          <w:color w:val="888888"/>
          <w:sz w:val="16"/>
          <w:szCs w:val="16"/>
        </w:rPr>
      </w:pPr>
    </w:p>
    <w:p w:rsidR="003026F4" w:rsidRDefault="003026F4" w:rsidP="003026F4"/>
    <w:p w:rsidR="003026F4" w:rsidRDefault="003026F4" w:rsidP="003026F4">
      <w:r w:rsidRPr="008B5F06">
        <w:lastRenderedPageBreak/>
        <w:t>http://www.wharves.com.au/wharves-articles/2008/1/25/berth-of-terminal/</w:t>
      </w:r>
    </w:p>
    <w:p w:rsidR="003026F4" w:rsidRDefault="003026F4" w:rsidP="003026F4"/>
    <w:p w:rsidR="003026F4" w:rsidRDefault="003026F4" w:rsidP="003026F4">
      <w:pPr>
        <w:pStyle w:val="Heading2"/>
        <w:spacing w:before="0" w:after="150" w:line="450" w:lineRule="atLeast"/>
        <w:rPr>
          <w:rFonts w:ascii="Georgia" w:hAnsi="Georgia"/>
          <w:b w:val="0"/>
          <w:bCs w:val="0"/>
          <w:color w:val="222222"/>
          <w:spacing w:val="-15"/>
          <w:sz w:val="54"/>
          <w:szCs w:val="54"/>
        </w:rPr>
      </w:pPr>
      <w:r>
        <w:rPr>
          <w:rFonts w:ascii="Georgia" w:hAnsi="Georgia"/>
          <w:b w:val="0"/>
          <w:bCs w:val="0"/>
          <w:color w:val="222222"/>
          <w:spacing w:val="-15"/>
          <w:sz w:val="54"/>
          <w:szCs w:val="54"/>
        </w:rPr>
        <w:t>Berth Of Terminal</w:t>
      </w:r>
    </w:p>
    <w:p w:rsidR="003026F4" w:rsidRDefault="003026F4" w:rsidP="003026F4">
      <w:pPr>
        <w:pStyle w:val="publication"/>
        <w:spacing w:before="0" w:beforeAutospacing="0" w:after="0" w:afterAutospacing="0" w:line="360" w:lineRule="atLeast"/>
        <w:rPr>
          <w:i/>
          <w:iCs/>
          <w:sz w:val="17"/>
          <w:szCs w:val="17"/>
        </w:rPr>
      </w:pPr>
      <w:r>
        <w:rPr>
          <w:i/>
          <w:iCs/>
          <w:sz w:val="17"/>
          <w:szCs w:val="17"/>
        </w:rPr>
        <w:t>Newcastle Herald</w:t>
      </w:r>
    </w:p>
    <w:p w:rsidR="003026F4" w:rsidRDefault="003026F4" w:rsidP="003026F4">
      <w:pPr>
        <w:pStyle w:val="Date1"/>
        <w:spacing w:before="45" w:beforeAutospacing="0" w:after="75" w:afterAutospacing="0" w:line="360" w:lineRule="atLeast"/>
        <w:rPr>
          <w:i/>
          <w:iCs/>
          <w:sz w:val="15"/>
          <w:szCs w:val="15"/>
        </w:rPr>
      </w:pPr>
      <w:r>
        <w:rPr>
          <w:i/>
          <w:iCs/>
          <w:sz w:val="15"/>
          <w:szCs w:val="15"/>
        </w:rPr>
        <w:t>Friday January 25, 2008</w:t>
      </w:r>
    </w:p>
    <w:p w:rsidR="003026F4" w:rsidRDefault="003026F4" w:rsidP="003026F4">
      <w:pPr>
        <w:pStyle w:val="originalauthor"/>
        <w:spacing w:before="0" w:beforeAutospacing="0" w:after="0" w:afterAutospacing="0" w:line="360" w:lineRule="atLeast"/>
        <w:rPr>
          <w:i/>
          <w:iCs/>
          <w:sz w:val="17"/>
          <w:szCs w:val="17"/>
        </w:rPr>
      </w:pPr>
      <w:r>
        <w:rPr>
          <w:i/>
          <w:iCs/>
          <w:sz w:val="17"/>
          <w:szCs w:val="17"/>
        </w:rPr>
        <w:t>By GREG WENDT Business Editor</w:t>
      </w:r>
    </w:p>
    <w:p w:rsidR="003026F4" w:rsidRDefault="003026F4" w:rsidP="003026F4">
      <w:pPr>
        <w:pStyle w:val="NormalWeb"/>
        <w:spacing w:before="0" w:beforeAutospacing="0" w:after="225" w:afterAutospacing="0" w:line="360" w:lineRule="atLeast"/>
      </w:pPr>
      <w:r>
        <w:t>NEWCASTLE Port Corporation will begin a nationwide search this week for contractors for the multimillion-dollar redevelopment of wharves at the former BHP steelworks site.</w:t>
      </w:r>
    </w:p>
    <w:p w:rsidR="003026F4" w:rsidRDefault="003026F4" w:rsidP="003026F4">
      <w:pPr>
        <w:pStyle w:val="NormalWeb"/>
        <w:spacing w:before="0" w:beforeAutospacing="0" w:after="225" w:afterAutospacing="0" w:line="360" w:lineRule="atLeast"/>
      </w:pPr>
      <w:r>
        <w:t>Building is expected to start by the middle of this year, with the facilities to be operational towards the end of 2009.</w:t>
      </w:r>
    </w:p>
    <w:p w:rsidR="003026F4" w:rsidRDefault="003026F4" w:rsidP="003026F4">
      <w:pPr>
        <w:pStyle w:val="NormalWeb"/>
        <w:spacing w:before="0" w:beforeAutospacing="0" w:after="225" w:afterAutospacing="0" w:line="360" w:lineRule="atLeast"/>
      </w:pPr>
      <w:r>
        <w:t>Corporation chief executive officer Gary Webb said advertisements would appear tomorrow calling for tenders.</w:t>
      </w:r>
    </w:p>
    <w:p w:rsidR="003026F4" w:rsidRDefault="003026F4" w:rsidP="003026F4">
      <w:pPr>
        <w:pStyle w:val="NormalWeb"/>
        <w:spacing w:before="0" w:beforeAutospacing="0" w:after="225" w:afterAutospacing="0" w:line="360" w:lineRule="atLeast"/>
      </w:pPr>
      <w:r>
        <w:t>Member for Newcastle Jodi McKay said a 265-metre berth would be built on the site for loading and unloading containers, bulky goods and general cargo.</w:t>
      </w:r>
    </w:p>
    <w:p w:rsidR="003026F4" w:rsidRDefault="003026F4" w:rsidP="003026F4">
      <w:pPr>
        <w:pStyle w:val="NormalWeb"/>
        <w:spacing w:before="0" w:beforeAutospacing="0" w:after="225" w:afterAutospacing="0" w:line="360" w:lineRule="atLeast"/>
      </w:pPr>
      <w:r>
        <w:t>"The project will facilitate trade growth and allow the Port of Newcastle to establish new functions complementary to other NSW ports," she said.</w:t>
      </w:r>
    </w:p>
    <w:p w:rsidR="003026F4" w:rsidRDefault="003026F4" w:rsidP="003026F4">
      <w:pPr>
        <w:pStyle w:val="NormalWeb"/>
        <w:spacing w:before="0" w:beforeAutospacing="0" w:after="225" w:afterAutospacing="0" w:line="360" w:lineRule="atLeast"/>
      </w:pPr>
      <w:r>
        <w:t>She said the project was in line with the NSW Government's ports growth plan, positioning Newcastle to develop a container terminal once Port Botany reaches its capacity.</w:t>
      </w:r>
    </w:p>
    <w:p w:rsidR="003026F4" w:rsidRDefault="003026F4" w:rsidP="003026F4">
      <w:pPr>
        <w:pStyle w:val="NormalWeb"/>
        <w:spacing w:before="0" w:beforeAutospacing="0" w:after="225" w:afterAutospacing="0" w:line="360" w:lineRule="atLeast"/>
      </w:pPr>
      <w:r>
        <w:t>"It includes refurbishment of a former BHP ore berth plus the construction of eight hectares of hardstand behind the wharf on the Hunter River," Ms McKay said.</w:t>
      </w:r>
    </w:p>
    <w:p w:rsidR="003026F4" w:rsidRDefault="003026F4" w:rsidP="003026F4">
      <w:pPr>
        <w:pStyle w:val="NormalWeb"/>
        <w:spacing w:before="0" w:beforeAutospacing="0" w:after="225" w:afterAutospacing="0" w:line="360" w:lineRule="atLeast"/>
      </w:pPr>
      <w:r>
        <w:t>The hardstand [hard surfaced area] construction would include cargo and container storage areas, services and amenities.</w:t>
      </w:r>
    </w:p>
    <w:p w:rsidR="003026F4" w:rsidRDefault="003026F4" w:rsidP="003026F4">
      <w:pPr>
        <w:pStyle w:val="NormalWeb"/>
        <w:spacing w:before="0" w:beforeAutospacing="0" w:after="225" w:afterAutospacing="0" w:line="360" w:lineRule="atLeast"/>
      </w:pPr>
      <w:r>
        <w:t>Premier Morris Iemma said last year the Government, through Newcastle Port Corporation, was committing $22 million to the project.</w:t>
      </w:r>
    </w:p>
    <w:p w:rsidR="003026F4" w:rsidRDefault="003026F4" w:rsidP="003026F4">
      <w:pPr>
        <w:pStyle w:val="NormalWeb"/>
        <w:spacing w:before="0" w:beforeAutospacing="0" w:after="225" w:afterAutospacing="0" w:line="360" w:lineRule="atLeast"/>
      </w:pPr>
      <w:r>
        <w:t>Mr Webb said the corporation had contacted existing and potential customers about the wharf project.</w:t>
      </w:r>
    </w:p>
    <w:p w:rsidR="003026F4" w:rsidRDefault="003026F4" w:rsidP="003026F4">
      <w:pPr>
        <w:pStyle w:val="NormalWeb"/>
        <w:spacing w:before="0" w:beforeAutospacing="0" w:after="225" w:afterAutospacing="0" w:line="360" w:lineRule="atLeast"/>
      </w:pPr>
      <w:r>
        <w:t>? AFTER unlocking the potential for development of some of the Hunter's most significant industrial sites, the regional Land Management Corporation will close its doors for the last time on Thursday. The corporation has been merged with Honeysuckle Development Corporationto form the Hunter Development Corporation.</w:t>
      </w:r>
    </w:p>
    <w:p w:rsidR="003026F4" w:rsidRDefault="003026F4" w:rsidP="003026F4"/>
    <w:p w:rsidR="003026F4" w:rsidRDefault="003026F4" w:rsidP="003026F4">
      <w:pPr>
        <w:numPr>
          <w:ilvl w:val="0"/>
          <w:numId w:val="1"/>
        </w:numPr>
        <w:spacing w:before="100" w:beforeAutospacing="1" w:after="100" w:afterAutospacing="1"/>
        <w:ind w:left="0" w:right="90"/>
        <w:rPr>
          <w:rFonts w:ascii="Arial" w:hAnsi="Arial" w:cs="Arial"/>
          <w:color w:val="166CA2"/>
          <w:sz w:val="16"/>
          <w:szCs w:val="16"/>
        </w:rPr>
      </w:pPr>
      <w:hyperlink r:id="rId6" w:history="1">
        <w:r>
          <w:rPr>
            <w:rStyle w:val="Hyperlink"/>
            <w:rFonts w:ascii="Arial" w:hAnsi="Arial" w:cs="Arial"/>
            <w:color w:val="888888"/>
            <w:sz w:val="16"/>
            <w:szCs w:val="16"/>
          </w:rPr>
          <w:t>21 October 2010</w:t>
        </w:r>
      </w:hyperlink>
    </w:p>
    <w:p w:rsidR="003026F4" w:rsidRDefault="003026F4" w:rsidP="003026F4">
      <w:pPr>
        <w:pStyle w:val="Heading1"/>
        <w:shd w:val="clear" w:color="auto" w:fill="FFFFFF"/>
        <w:spacing w:before="450" w:beforeAutospacing="0" w:after="375" w:afterAutospacing="0" w:line="285" w:lineRule="atLeast"/>
        <w:rPr>
          <w:rFonts w:ascii="Century Gothic" w:hAnsi="Century Gothic" w:cs="Arial"/>
          <w:b w:val="0"/>
          <w:bCs w:val="0"/>
          <w:color w:val="70193D"/>
          <w:sz w:val="28"/>
          <w:szCs w:val="28"/>
        </w:rPr>
      </w:pPr>
      <w:r>
        <w:rPr>
          <w:rFonts w:ascii="Century Gothic" w:hAnsi="Century Gothic" w:cs="Arial"/>
          <w:b w:val="0"/>
          <w:bCs w:val="0"/>
          <w:color w:val="70193D"/>
          <w:sz w:val="28"/>
          <w:szCs w:val="28"/>
        </w:rPr>
        <w:t>Port Botany Expansion</w:t>
      </w:r>
    </w:p>
    <w:p w:rsidR="003026F4" w:rsidRDefault="003026F4" w:rsidP="003026F4">
      <w:pPr>
        <w:shd w:val="clear" w:color="auto" w:fill="FFFFFF"/>
        <w:spacing w:line="285" w:lineRule="atLeast"/>
        <w:rPr>
          <w:rFonts w:ascii="Arial" w:hAnsi="Arial" w:cs="Arial"/>
          <w:color w:val="888888"/>
          <w:sz w:val="16"/>
          <w:szCs w:val="16"/>
        </w:rPr>
      </w:pPr>
      <w:hyperlink r:id="rId7" w:history="1">
        <w:r>
          <w:rPr>
            <w:rStyle w:val="Hyperlink"/>
            <w:rFonts w:ascii="Arial" w:hAnsi="Arial" w:cs="Arial"/>
            <w:color w:val="0D538B"/>
            <w:sz w:val="16"/>
            <w:szCs w:val="16"/>
          </w:rPr>
          <w:t>Printing Tips</w:t>
        </w:r>
      </w:hyperlink>
      <w:r>
        <w:rPr>
          <w:rStyle w:val="apple-converted-space"/>
          <w:rFonts w:ascii="Arial" w:hAnsi="Arial" w:cs="Arial"/>
          <w:color w:val="888888"/>
          <w:sz w:val="16"/>
          <w:szCs w:val="16"/>
        </w:rPr>
        <w:t> </w:t>
      </w:r>
      <w:r>
        <w:rPr>
          <w:rStyle w:val="hidepf"/>
          <w:rFonts w:ascii="Arial" w:hAnsi="Arial" w:cs="Arial"/>
          <w:color w:val="888888"/>
          <w:sz w:val="16"/>
          <w:szCs w:val="16"/>
        </w:rPr>
        <w:t>|</w:t>
      </w:r>
      <w:r>
        <w:rPr>
          <w:rStyle w:val="apple-converted-space"/>
          <w:rFonts w:ascii="Arial" w:hAnsi="Arial" w:cs="Arial"/>
          <w:color w:val="888888"/>
          <w:sz w:val="16"/>
          <w:szCs w:val="16"/>
        </w:rPr>
        <w:t> </w:t>
      </w:r>
      <w:hyperlink r:id="rId8" w:tooltip="Formats any text you select on this page, for printing with appropriate headings. Shortcut: Alt+P" w:history="1">
        <w:r>
          <w:rPr>
            <w:rStyle w:val="Hyperlink"/>
            <w:rFonts w:ascii="Arial" w:hAnsi="Arial" w:cs="Arial"/>
            <w:color w:val="0D538B"/>
            <w:sz w:val="16"/>
            <w:szCs w:val="16"/>
          </w:rPr>
          <w:t>Print selected text</w:t>
        </w:r>
      </w:hyperlink>
      <w:r>
        <w:rPr>
          <w:rStyle w:val="apple-converted-space"/>
          <w:rFonts w:ascii="Arial" w:hAnsi="Arial" w:cs="Arial"/>
          <w:color w:val="888888"/>
          <w:sz w:val="16"/>
          <w:szCs w:val="16"/>
        </w:rPr>
        <w:t> </w:t>
      </w:r>
      <w:r>
        <w:rPr>
          <w:rStyle w:val="hidepf"/>
          <w:rFonts w:ascii="Arial" w:hAnsi="Arial" w:cs="Arial"/>
          <w:color w:val="888888"/>
          <w:sz w:val="16"/>
          <w:szCs w:val="16"/>
        </w:rPr>
        <w:t>|</w:t>
      </w:r>
      <w:r>
        <w:rPr>
          <w:rStyle w:val="apple-converted-space"/>
          <w:rFonts w:ascii="Arial" w:hAnsi="Arial" w:cs="Arial"/>
          <w:color w:val="888888"/>
          <w:sz w:val="16"/>
          <w:szCs w:val="16"/>
        </w:rPr>
        <w:t> </w:t>
      </w:r>
      <w:hyperlink r:id="rId9" w:history="1">
        <w:r>
          <w:rPr>
            <w:rStyle w:val="Hyperlink"/>
            <w:rFonts w:ascii="Arial" w:hAnsi="Arial" w:cs="Arial"/>
            <w:color w:val="0D538B"/>
            <w:sz w:val="16"/>
            <w:szCs w:val="16"/>
          </w:rPr>
          <w:t>Full Day Hansard Transcript</w:t>
        </w:r>
      </w:hyperlink>
      <w:r>
        <w:rPr>
          <w:rStyle w:val="apple-converted-space"/>
          <w:rFonts w:ascii="Arial" w:hAnsi="Arial" w:cs="Arial"/>
          <w:color w:val="888888"/>
          <w:sz w:val="16"/>
          <w:szCs w:val="16"/>
        </w:rPr>
        <w:t> </w:t>
      </w:r>
      <w:r>
        <w:rPr>
          <w:rStyle w:val="hidepf"/>
          <w:rFonts w:ascii="Arial" w:hAnsi="Arial" w:cs="Arial"/>
          <w:color w:val="888888"/>
          <w:sz w:val="16"/>
          <w:szCs w:val="16"/>
        </w:rPr>
        <w:t>|</w:t>
      </w:r>
      <w:r>
        <w:rPr>
          <w:rStyle w:val="apple-converted-space"/>
          <w:rFonts w:ascii="Arial" w:hAnsi="Arial" w:cs="Arial"/>
          <w:color w:val="888888"/>
          <w:sz w:val="16"/>
          <w:szCs w:val="16"/>
        </w:rPr>
        <w:t> </w:t>
      </w:r>
      <w:hyperlink r:id="rId10" w:history="1">
        <w:r>
          <w:rPr>
            <w:rStyle w:val="Hyperlink"/>
            <w:rFonts w:ascii="Arial" w:hAnsi="Arial" w:cs="Arial"/>
            <w:color w:val="0D538B"/>
            <w:sz w:val="16"/>
            <w:szCs w:val="16"/>
          </w:rPr>
          <w:t>« Prior Item</w:t>
        </w:r>
      </w:hyperlink>
      <w:r>
        <w:rPr>
          <w:rStyle w:val="apple-converted-space"/>
          <w:rFonts w:ascii="Arial" w:hAnsi="Arial" w:cs="Arial"/>
          <w:color w:val="888888"/>
          <w:sz w:val="16"/>
          <w:szCs w:val="16"/>
        </w:rPr>
        <w:t> </w:t>
      </w:r>
      <w:r>
        <w:rPr>
          <w:rStyle w:val="hidepf"/>
          <w:rFonts w:ascii="Arial" w:hAnsi="Arial" w:cs="Arial"/>
          <w:color w:val="888888"/>
          <w:sz w:val="16"/>
          <w:szCs w:val="16"/>
        </w:rPr>
        <w:t>| Item 22 of 51 |</w:t>
      </w:r>
      <w:r>
        <w:rPr>
          <w:rStyle w:val="apple-converted-space"/>
          <w:rFonts w:ascii="Arial" w:hAnsi="Arial" w:cs="Arial"/>
          <w:color w:val="888888"/>
          <w:sz w:val="16"/>
          <w:szCs w:val="16"/>
        </w:rPr>
        <w:t> </w:t>
      </w:r>
      <w:hyperlink r:id="rId11" w:history="1">
        <w:r>
          <w:rPr>
            <w:rStyle w:val="Hyperlink"/>
            <w:rFonts w:ascii="Arial" w:hAnsi="Arial" w:cs="Arial"/>
            <w:color w:val="0D538B"/>
            <w:sz w:val="16"/>
            <w:szCs w:val="16"/>
          </w:rPr>
          <w:t>Next Item »</w:t>
        </w:r>
      </w:hyperlink>
    </w:p>
    <w:p w:rsidR="003026F4" w:rsidRDefault="003026F4" w:rsidP="003026F4">
      <w:pPr>
        <w:shd w:val="clear" w:color="auto" w:fill="FFFFFF"/>
        <w:spacing w:after="240" w:line="285" w:lineRule="atLeast"/>
        <w:rPr>
          <w:rFonts w:ascii="Arial" w:hAnsi="Arial" w:cs="Arial"/>
          <w:color w:val="666666"/>
          <w:sz w:val="19"/>
          <w:szCs w:val="19"/>
        </w:rPr>
      </w:pPr>
    </w:p>
    <w:tbl>
      <w:tblPr>
        <w:tblW w:w="10200" w:type="dxa"/>
        <w:tblCellSpacing w:w="0" w:type="dxa"/>
        <w:tblCellMar>
          <w:left w:w="0" w:type="dxa"/>
          <w:right w:w="0" w:type="dxa"/>
        </w:tblCellMar>
        <w:tblLook w:val="04A0" w:firstRow="1" w:lastRow="0" w:firstColumn="1" w:lastColumn="0" w:noHBand="0" w:noVBand="1"/>
      </w:tblPr>
      <w:tblGrid>
        <w:gridCol w:w="1907"/>
        <w:gridCol w:w="8293"/>
      </w:tblGrid>
      <w:tr w:rsidR="003026F4" w:rsidTr="00650B98">
        <w:trPr>
          <w:tblCellSpacing w:w="0" w:type="dxa"/>
        </w:trPr>
        <w:tc>
          <w:tcPr>
            <w:tcW w:w="0" w:type="auto"/>
            <w:gridSpan w:val="2"/>
            <w:shd w:val="clear" w:color="auto" w:fill="70193D"/>
            <w:tcMar>
              <w:top w:w="30" w:type="dxa"/>
              <w:left w:w="75" w:type="dxa"/>
              <w:bottom w:w="30" w:type="dxa"/>
              <w:right w:w="75" w:type="dxa"/>
            </w:tcMar>
            <w:hideMark/>
          </w:tcPr>
          <w:p w:rsidR="003026F4" w:rsidRDefault="003026F4" w:rsidP="00650B98">
            <w:pPr>
              <w:spacing w:before="150" w:after="150"/>
              <w:rPr>
                <w:rFonts w:ascii="Century Gothic" w:hAnsi="Century Gothic" w:cs="Arial"/>
                <w:color w:val="FFFFFF"/>
                <w:sz w:val="19"/>
                <w:szCs w:val="19"/>
              </w:rPr>
            </w:pPr>
            <w:r>
              <w:rPr>
                <w:rFonts w:ascii="Century Gothic" w:hAnsi="Century Gothic" w:cs="Arial"/>
                <w:color w:val="FFFFFF"/>
                <w:sz w:val="19"/>
                <w:szCs w:val="19"/>
              </w:rPr>
              <w:t>About this Item</w:t>
            </w:r>
          </w:p>
        </w:tc>
      </w:tr>
      <w:tr w:rsidR="003026F4" w:rsidTr="00650B98">
        <w:trPr>
          <w:tblCellSpacing w:w="0" w:type="dxa"/>
        </w:trPr>
        <w:tc>
          <w:tcPr>
            <w:tcW w:w="0" w:type="auto"/>
            <w:tcBorders>
              <w:bottom w:val="single" w:sz="6" w:space="0" w:color="CCCCCC"/>
            </w:tcBorders>
            <w:tcMar>
              <w:top w:w="30" w:type="dxa"/>
              <w:left w:w="75" w:type="dxa"/>
              <w:bottom w:w="30" w:type="dxa"/>
              <w:right w:w="75" w:type="dxa"/>
            </w:tcMar>
            <w:hideMark/>
          </w:tcPr>
          <w:p w:rsidR="003026F4" w:rsidRDefault="003026F4" w:rsidP="00650B98">
            <w:pPr>
              <w:spacing w:before="150" w:after="150"/>
              <w:rPr>
                <w:rFonts w:ascii="Arial" w:hAnsi="Arial" w:cs="Arial"/>
                <w:color w:val="666666"/>
                <w:sz w:val="19"/>
                <w:szCs w:val="19"/>
              </w:rPr>
            </w:pPr>
            <w:r>
              <w:rPr>
                <w:rFonts w:ascii="Arial" w:hAnsi="Arial" w:cs="Arial"/>
                <w:color w:val="666666"/>
                <w:sz w:val="19"/>
                <w:szCs w:val="19"/>
              </w:rPr>
              <w:t>Speakers</w:t>
            </w:r>
          </w:p>
        </w:tc>
        <w:tc>
          <w:tcPr>
            <w:tcW w:w="0" w:type="auto"/>
            <w:tcBorders>
              <w:bottom w:val="single" w:sz="6" w:space="0" w:color="CCCCCC"/>
            </w:tcBorders>
            <w:tcMar>
              <w:top w:w="30" w:type="dxa"/>
              <w:left w:w="75" w:type="dxa"/>
              <w:bottom w:w="30" w:type="dxa"/>
              <w:right w:w="75" w:type="dxa"/>
            </w:tcMar>
            <w:hideMark/>
          </w:tcPr>
          <w:p w:rsidR="003026F4" w:rsidRDefault="003026F4" w:rsidP="00650B98">
            <w:pPr>
              <w:spacing w:before="150" w:after="150"/>
              <w:rPr>
                <w:rFonts w:ascii="Arial" w:hAnsi="Arial" w:cs="Arial"/>
                <w:color w:val="666666"/>
                <w:sz w:val="19"/>
                <w:szCs w:val="19"/>
              </w:rPr>
            </w:pPr>
            <w:hyperlink r:id="rId12" w:history="1">
              <w:r>
                <w:rPr>
                  <w:rStyle w:val="Hyperlink"/>
                  <w:rFonts w:ascii="Arial" w:hAnsi="Arial" w:cs="Arial"/>
                  <w:color w:val="0D538B"/>
                  <w:sz w:val="19"/>
                  <w:szCs w:val="19"/>
                </w:rPr>
                <w:t>Foley The Hon Luke</w:t>
              </w:r>
            </w:hyperlink>
            <w:r>
              <w:rPr>
                <w:rFonts w:ascii="Arial" w:hAnsi="Arial" w:cs="Arial"/>
                <w:color w:val="666666"/>
                <w:sz w:val="19"/>
                <w:szCs w:val="19"/>
              </w:rPr>
              <w:t>;</w:t>
            </w:r>
            <w:r>
              <w:rPr>
                <w:rStyle w:val="apple-converted-space"/>
                <w:rFonts w:ascii="Arial" w:hAnsi="Arial" w:cs="Arial"/>
                <w:color w:val="666666"/>
                <w:sz w:val="19"/>
                <w:szCs w:val="19"/>
              </w:rPr>
              <w:t> </w:t>
            </w:r>
            <w:hyperlink r:id="rId13" w:history="1">
              <w:r>
                <w:rPr>
                  <w:rStyle w:val="Hyperlink"/>
                  <w:rFonts w:ascii="Arial" w:hAnsi="Arial" w:cs="Arial"/>
                  <w:color w:val="0D538B"/>
                  <w:sz w:val="19"/>
                  <w:szCs w:val="19"/>
                </w:rPr>
                <w:t>Roozendaal The Hon Eric</w:t>
              </w:r>
            </w:hyperlink>
          </w:p>
        </w:tc>
      </w:tr>
      <w:tr w:rsidR="003026F4" w:rsidTr="00650B98">
        <w:trPr>
          <w:tblCellSpacing w:w="0" w:type="dxa"/>
        </w:trPr>
        <w:tc>
          <w:tcPr>
            <w:tcW w:w="0" w:type="auto"/>
            <w:tcBorders>
              <w:bottom w:val="single" w:sz="6" w:space="0" w:color="CCCCCC"/>
            </w:tcBorders>
            <w:tcMar>
              <w:top w:w="30" w:type="dxa"/>
              <w:left w:w="75" w:type="dxa"/>
              <w:bottom w:w="30" w:type="dxa"/>
              <w:right w:w="75" w:type="dxa"/>
            </w:tcMar>
            <w:hideMark/>
          </w:tcPr>
          <w:p w:rsidR="003026F4" w:rsidRDefault="003026F4" w:rsidP="00650B98">
            <w:pPr>
              <w:spacing w:before="150" w:after="150"/>
              <w:rPr>
                <w:rFonts w:ascii="Arial" w:hAnsi="Arial" w:cs="Arial"/>
                <w:color w:val="666666"/>
                <w:sz w:val="19"/>
                <w:szCs w:val="19"/>
              </w:rPr>
            </w:pPr>
            <w:r>
              <w:rPr>
                <w:rFonts w:ascii="Arial" w:hAnsi="Arial" w:cs="Arial"/>
                <w:color w:val="666666"/>
                <w:sz w:val="19"/>
                <w:szCs w:val="19"/>
              </w:rPr>
              <w:t>Business</w:t>
            </w:r>
          </w:p>
        </w:tc>
        <w:tc>
          <w:tcPr>
            <w:tcW w:w="0" w:type="auto"/>
            <w:tcBorders>
              <w:bottom w:val="single" w:sz="6" w:space="0" w:color="CCCCCC"/>
            </w:tcBorders>
            <w:tcMar>
              <w:top w:w="30" w:type="dxa"/>
              <w:left w:w="75" w:type="dxa"/>
              <w:bottom w:w="30" w:type="dxa"/>
              <w:right w:w="75" w:type="dxa"/>
            </w:tcMar>
            <w:hideMark/>
          </w:tcPr>
          <w:p w:rsidR="003026F4" w:rsidRDefault="003026F4" w:rsidP="00650B98">
            <w:pPr>
              <w:spacing w:before="150" w:after="150"/>
              <w:rPr>
                <w:rFonts w:ascii="Arial" w:hAnsi="Arial" w:cs="Arial"/>
                <w:color w:val="666666"/>
                <w:sz w:val="19"/>
                <w:szCs w:val="19"/>
              </w:rPr>
            </w:pPr>
            <w:r>
              <w:rPr>
                <w:rFonts w:ascii="Arial" w:hAnsi="Arial" w:cs="Arial"/>
                <w:color w:val="666666"/>
                <w:sz w:val="19"/>
                <w:szCs w:val="19"/>
              </w:rPr>
              <w:t>Questions Without Notice, QWN</w:t>
            </w:r>
          </w:p>
        </w:tc>
      </w:tr>
    </w:tbl>
    <w:p w:rsidR="003026F4" w:rsidRDefault="003026F4" w:rsidP="003026F4">
      <w:pPr>
        <w:shd w:val="clear" w:color="auto" w:fill="FFFFFF"/>
        <w:spacing w:after="240" w:line="285" w:lineRule="atLeast"/>
        <w:rPr>
          <w:rFonts w:ascii="Arial" w:hAnsi="Arial" w:cs="Arial"/>
          <w:color w:val="666666"/>
          <w:sz w:val="19"/>
          <w:szCs w:val="19"/>
        </w:rPr>
      </w:pPr>
      <w:r>
        <w:rPr>
          <w:rFonts w:ascii="Arial" w:hAnsi="Arial" w:cs="Arial"/>
          <w:color w:val="666666"/>
          <w:sz w:val="19"/>
          <w:szCs w:val="19"/>
        </w:rPr>
        <w:br/>
      </w:r>
    </w:p>
    <w:p w:rsidR="003026F4" w:rsidRDefault="003026F4" w:rsidP="003026F4">
      <w:pPr>
        <w:shd w:val="clear" w:color="auto" w:fill="FFFFFF"/>
        <w:spacing w:line="285" w:lineRule="atLeast"/>
        <w:jc w:val="center"/>
        <w:rPr>
          <w:rFonts w:ascii="Arial" w:hAnsi="Arial" w:cs="Arial"/>
          <w:color w:val="0D538B"/>
          <w:sz w:val="19"/>
          <w:szCs w:val="19"/>
        </w:rPr>
      </w:pPr>
      <w:r>
        <w:rPr>
          <w:rFonts w:ascii="Arial" w:hAnsi="Arial" w:cs="Arial"/>
          <w:b/>
          <w:bCs/>
          <w:color w:val="0D538B"/>
          <w:sz w:val="19"/>
          <w:szCs w:val="19"/>
        </w:rPr>
        <w:t>PORT BOTANY EXPANSION</w:t>
      </w:r>
    </w:p>
    <w:p w:rsidR="003026F4" w:rsidRDefault="003026F4" w:rsidP="003026F4">
      <w:pPr>
        <w:shd w:val="clear" w:color="auto" w:fill="FFFFFF"/>
        <w:spacing w:line="285" w:lineRule="atLeast"/>
        <w:jc w:val="right"/>
        <w:rPr>
          <w:rFonts w:ascii="Arial" w:hAnsi="Arial" w:cs="Arial"/>
          <w:color w:val="666666"/>
          <w:sz w:val="19"/>
          <w:szCs w:val="19"/>
        </w:rPr>
      </w:pPr>
      <w:r>
        <w:rPr>
          <w:rFonts w:ascii="Arial" w:hAnsi="Arial" w:cs="Arial"/>
          <w:color w:val="666666"/>
          <w:sz w:val="19"/>
          <w:szCs w:val="19"/>
        </w:rPr>
        <w:t>Page: 26517</w:t>
      </w:r>
    </w:p>
    <w:p w:rsidR="003026F4" w:rsidRDefault="003026F4" w:rsidP="003026F4">
      <w:pPr>
        <w:shd w:val="clear" w:color="auto" w:fill="FFFFFF"/>
        <w:spacing w:line="285" w:lineRule="atLeast"/>
        <w:rPr>
          <w:rFonts w:ascii="Arial" w:hAnsi="Arial" w:cs="Arial"/>
          <w:color w:val="666666"/>
          <w:sz w:val="19"/>
          <w:szCs w:val="19"/>
        </w:rPr>
      </w:pPr>
      <w:r>
        <w:rPr>
          <w:rFonts w:ascii="Arial" w:hAnsi="Arial" w:cs="Arial"/>
          <w:color w:val="666666"/>
          <w:sz w:val="19"/>
          <w:szCs w:val="19"/>
        </w:rPr>
        <w:br/>
      </w:r>
      <w:r>
        <w:rPr>
          <w:rFonts w:ascii="Arial" w:hAnsi="Arial" w:cs="Arial"/>
          <w:b/>
          <w:bCs/>
          <w:color w:val="666666"/>
          <w:sz w:val="19"/>
          <w:szCs w:val="19"/>
        </w:rPr>
        <w:t>The Hon. LUKE FOLEY:</w:t>
      </w:r>
      <w:r>
        <w:rPr>
          <w:rStyle w:val="apple-converted-space"/>
          <w:rFonts w:ascii="Arial" w:hAnsi="Arial" w:cs="Arial"/>
          <w:color w:val="666666"/>
          <w:sz w:val="19"/>
          <w:szCs w:val="19"/>
        </w:rPr>
        <w:t> </w:t>
      </w:r>
      <w:r>
        <w:rPr>
          <w:rFonts w:ascii="Arial" w:hAnsi="Arial" w:cs="Arial"/>
          <w:color w:val="666666"/>
          <w:sz w:val="19"/>
          <w:szCs w:val="19"/>
        </w:rPr>
        <w:t>My question is directed to the Minister for Ports and Waterways. Will the Minister update the House on the progress of the expansion of Port Botany?</w:t>
      </w:r>
      <w:r>
        <w:rPr>
          <w:rFonts w:ascii="Arial" w:hAnsi="Arial" w:cs="Arial"/>
          <w:color w:val="666666"/>
          <w:sz w:val="19"/>
          <w:szCs w:val="19"/>
        </w:rPr>
        <w:br/>
      </w:r>
      <w:r>
        <w:rPr>
          <w:rFonts w:ascii="Arial" w:hAnsi="Arial" w:cs="Arial"/>
          <w:color w:val="666666"/>
          <w:sz w:val="19"/>
          <w:szCs w:val="19"/>
        </w:rPr>
        <w:br/>
      </w:r>
      <w:r>
        <w:rPr>
          <w:rFonts w:ascii="Arial" w:hAnsi="Arial" w:cs="Arial"/>
          <w:b/>
          <w:bCs/>
          <w:color w:val="666666"/>
          <w:sz w:val="19"/>
          <w:szCs w:val="19"/>
        </w:rPr>
        <w:t>The Hon. ERIC ROOZENDAAL:</w:t>
      </w:r>
      <w:r>
        <w:rPr>
          <w:rStyle w:val="apple-converted-space"/>
          <w:rFonts w:ascii="Arial" w:hAnsi="Arial" w:cs="Arial"/>
          <w:color w:val="666666"/>
          <w:sz w:val="19"/>
          <w:szCs w:val="19"/>
        </w:rPr>
        <w:t> </w:t>
      </w:r>
      <w:r>
        <w:rPr>
          <w:rFonts w:ascii="Arial" w:hAnsi="Arial" w:cs="Arial"/>
          <w:color w:val="666666"/>
          <w:sz w:val="19"/>
          <w:szCs w:val="19"/>
        </w:rPr>
        <w:t>I thank the honourable member for his question and for his interest in this matter. The role our ports play in the State's prosperity and economic growth cannot be overstated. In New South Wales our ports handle around $80 billion worth of trade each year. Port Botany has achieved spectacular growth in recent decades, averaging around 7 per cent since the 1970s. As members will be well aware, the New South Wales Government is undertaking a $1 billion expansion of Port Botany to deliver a third container terminal to ensure our State's continued economic prosperity and growth. This project will deliver 9,000 new jobs and boost the State's economy by $16 billion over the next 20 years. Continued growth is the key to helping us build a strong future for the New South Wales economy. Last financial year Port Botany experienced 8 per cent growth in total container trade through the port, reaching 1.928 million containers, or 20-foot equivalent units. This came despite other container ports around the world suffering declines in their trade levels—Singapore was down 13 per cent in 2009 and Long Beach in the United States of America was down 14 per cent in 2009. All trends indicate that this is going to continue, and that is why we are building the third terminal.</w:t>
      </w:r>
      <w:r>
        <w:rPr>
          <w:rFonts w:ascii="Arial" w:hAnsi="Arial" w:cs="Arial"/>
          <w:color w:val="666666"/>
          <w:sz w:val="19"/>
          <w:szCs w:val="19"/>
        </w:rPr>
        <w:br/>
      </w:r>
      <w:r>
        <w:rPr>
          <w:rFonts w:ascii="Arial" w:hAnsi="Arial" w:cs="Arial"/>
          <w:color w:val="666666"/>
          <w:sz w:val="19"/>
          <w:szCs w:val="19"/>
        </w:rPr>
        <w:br/>
        <w:t>We are building for the future growth and prosperity of New South Wales. The construction of a new container terminal has provided the opportunity to reinvigorate competition in the stevedoring industry. In December last year Hutchison Port Holdings was announced as the operator of the new terminal. Improving competition will ultimately put downward pressure on the cost of shipping at Port Botany. Hutchison's decision to invest in Sydney reflects confidence in the $400 billion New South Wales economy. Not only will the New South Wales economy benefit from the expansion, so also will the local community.</w:t>
      </w:r>
      <w:r>
        <w:rPr>
          <w:rFonts w:ascii="Arial" w:hAnsi="Arial" w:cs="Arial"/>
          <w:color w:val="666666"/>
          <w:sz w:val="19"/>
          <w:szCs w:val="19"/>
        </w:rPr>
        <w:br/>
      </w:r>
      <w:r>
        <w:rPr>
          <w:rFonts w:ascii="Arial" w:hAnsi="Arial" w:cs="Arial"/>
          <w:color w:val="666666"/>
          <w:sz w:val="19"/>
          <w:szCs w:val="19"/>
        </w:rPr>
        <w:br/>
        <w:t xml:space="preserve">Last week I had the pleasure of officially opening the Port Botany community infrastructure project—a $30 million investment for the Port Botany community. The project includes the new Port Botany boat ramp, a Foreshore Road pedestrian bridge, a Mill Stream lookout and an upgraded Foreshore Beach. The expansion of Port Botany is not just a project for Sydney. Both in construction and operation the new terminal will benefit the whole State. Regional New South Wales has reaped rewards also through the </w:t>
      </w:r>
      <w:r>
        <w:rPr>
          <w:rFonts w:ascii="Arial" w:hAnsi="Arial" w:cs="Arial"/>
          <w:color w:val="666666"/>
          <w:sz w:val="19"/>
          <w:szCs w:val="19"/>
        </w:rPr>
        <w:lastRenderedPageBreak/>
        <w:t>supply of the materials used in the construction of the new terminal, including 62,000 tonnes of gravel from Peats Ridge and Emu Plains, 34,000 tonnes of sand from the Nepean and Kurnell, and 24,000 tonnes of cement from various locations around New South Wales.</w:t>
      </w:r>
      <w:r>
        <w:rPr>
          <w:rFonts w:ascii="Arial" w:hAnsi="Arial" w:cs="Arial"/>
          <w:color w:val="666666"/>
          <w:sz w:val="19"/>
          <w:szCs w:val="19"/>
        </w:rPr>
        <w:br/>
      </w:r>
      <w:r>
        <w:rPr>
          <w:rFonts w:ascii="Arial" w:hAnsi="Arial" w:cs="Arial"/>
          <w:color w:val="666666"/>
          <w:sz w:val="19"/>
          <w:szCs w:val="19"/>
        </w:rPr>
        <w:br/>
        <w:t>The Port Botany expansion is more than some new wharves; this is a large-scale, long-term infrastructure project that will benefit New South Wales with jobs, trade, growth and prosperity. I look forward to keeping the House updated on this project.</w:t>
      </w:r>
    </w:p>
    <w:p w:rsidR="003026F4" w:rsidRDefault="003026F4" w:rsidP="003026F4"/>
    <w:p w:rsidR="003026F4" w:rsidRDefault="003026F4" w:rsidP="003026F4"/>
    <w:p w:rsidR="003026F4" w:rsidRDefault="003026F4" w:rsidP="003026F4"/>
    <w:p w:rsidR="003026F4" w:rsidRDefault="003026F4" w:rsidP="002F21A0"/>
    <w:sectPr w:rsidR="003026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329A"/>
    <w:multiLevelType w:val="multilevel"/>
    <w:tmpl w:val="EE84D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AE6"/>
    <w:rsid w:val="00097AB1"/>
    <w:rsid w:val="001446DB"/>
    <w:rsid w:val="00196876"/>
    <w:rsid w:val="001A6A86"/>
    <w:rsid w:val="002E6AE6"/>
    <w:rsid w:val="002F21A0"/>
    <w:rsid w:val="003026F4"/>
    <w:rsid w:val="00307814"/>
    <w:rsid w:val="004C6BB4"/>
    <w:rsid w:val="00511679"/>
    <w:rsid w:val="0057709A"/>
    <w:rsid w:val="00862B05"/>
    <w:rsid w:val="00912D07"/>
    <w:rsid w:val="00B32F3A"/>
    <w:rsid w:val="00CD30B3"/>
    <w:rsid w:val="00E429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B25D1"/>
  <w15:chartTrackingRefBased/>
  <w15:docId w15:val="{BA83ECB9-B73D-469E-AE7E-484A7AFA8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en-AU"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32F3A"/>
  </w:style>
  <w:style w:type="paragraph" w:styleId="Heading1">
    <w:name w:val="heading 1"/>
    <w:basedOn w:val="Normal"/>
    <w:link w:val="Heading1Char"/>
    <w:uiPriority w:val="9"/>
    <w:qFormat/>
    <w:rsid w:val="003026F4"/>
    <w:pPr>
      <w:spacing w:before="100" w:beforeAutospacing="1" w:after="100" w:afterAutospacing="1"/>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3026F4"/>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26F4"/>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semiHidden/>
    <w:rsid w:val="003026F4"/>
    <w:rPr>
      <w:rFonts w:asciiTheme="majorHAnsi" w:eastAsiaTheme="majorEastAsia" w:hAnsiTheme="majorHAnsi" w:cstheme="majorBidi"/>
      <w:b/>
      <w:bCs/>
      <w:color w:val="4472C4" w:themeColor="accent1"/>
      <w:sz w:val="26"/>
      <w:szCs w:val="26"/>
    </w:rPr>
  </w:style>
  <w:style w:type="character" w:customStyle="1" w:styleId="hidepf">
    <w:name w:val="hidepf"/>
    <w:basedOn w:val="DefaultParagraphFont"/>
    <w:rsid w:val="003026F4"/>
  </w:style>
  <w:style w:type="character" w:styleId="Hyperlink">
    <w:name w:val="Hyperlink"/>
    <w:basedOn w:val="DefaultParagraphFont"/>
    <w:uiPriority w:val="99"/>
    <w:semiHidden/>
    <w:unhideWhenUsed/>
    <w:rsid w:val="003026F4"/>
    <w:rPr>
      <w:color w:val="0000FF"/>
      <w:u w:val="single"/>
    </w:rPr>
  </w:style>
  <w:style w:type="character" w:customStyle="1" w:styleId="apple-converted-space">
    <w:name w:val="apple-converted-space"/>
    <w:basedOn w:val="DefaultParagraphFont"/>
    <w:rsid w:val="003026F4"/>
  </w:style>
  <w:style w:type="paragraph" w:customStyle="1" w:styleId="publication">
    <w:name w:val="publication"/>
    <w:basedOn w:val="Normal"/>
    <w:rsid w:val="003026F4"/>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Date1">
    <w:name w:val="Date1"/>
    <w:basedOn w:val="Normal"/>
    <w:rsid w:val="003026F4"/>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originalauthor">
    <w:name w:val="original_author"/>
    <w:basedOn w:val="Normal"/>
    <w:rsid w:val="003026F4"/>
    <w:pPr>
      <w:spacing w:before="100" w:beforeAutospacing="1" w:after="100" w:afterAutospacing="1"/>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3026F4"/>
    <w:pPr>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liament.nsw.gov.au/prod/parlment/hansart.nsf/V3Key/LC20101021022" TargetMode="External"/><Relationship Id="rId13" Type="http://schemas.openxmlformats.org/officeDocument/2006/relationships/hyperlink" Target="http://www.parliament.nsw.gov.au/prod/parlment/hansart.nsf/V3HHBSpeaker?Open&amp;vwCat=Roozendaal,%20The%20Hon%20Eric" TargetMode="External"/><Relationship Id="rId3" Type="http://schemas.openxmlformats.org/officeDocument/2006/relationships/settings" Target="settings.xml"/><Relationship Id="rId7" Type="http://schemas.openxmlformats.org/officeDocument/2006/relationships/hyperlink" Target="http://www.parliament.nsw.gov.au/prod/web/common.nsf/key/HHBPrintTips" TargetMode="External"/><Relationship Id="rId12" Type="http://schemas.openxmlformats.org/officeDocument/2006/relationships/hyperlink" Target="http://www.parliament.nsw.gov.au/prod/parlment/hansart.nsf/V3HHBSpeaker?Open&amp;vwCat=Foley,%20The%20Hon%20Luk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liament.nsw.gov.au/prod/web/common.nsf/V3HHBDayLC?open&amp;key=20101021" TargetMode="External"/><Relationship Id="rId11" Type="http://schemas.openxmlformats.org/officeDocument/2006/relationships/hyperlink" Target="http://www.parliament.nsw.gov.au/prod/parlment/hansart.nsf/V3Key/LC20101021023?Open&amp;refNavID=" TargetMode="External"/><Relationship Id="rId5" Type="http://schemas.openxmlformats.org/officeDocument/2006/relationships/hyperlink" Target="http://www.parliament.nsw.gov.au/prod/parlment/hansart.nsf/V3HHBSpeaker?Open&amp;vwCat=McKay,%20Ms%20Jodi" TargetMode="External"/><Relationship Id="rId15" Type="http://schemas.openxmlformats.org/officeDocument/2006/relationships/theme" Target="theme/theme1.xml"/><Relationship Id="rId10" Type="http://schemas.openxmlformats.org/officeDocument/2006/relationships/hyperlink" Target="http://www.parliament.nsw.gov.au/prod/parlment/hansart.nsf/V3Key/LC20101021021?Open&amp;refNavID=" TargetMode="External"/><Relationship Id="rId4" Type="http://schemas.openxmlformats.org/officeDocument/2006/relationships/webSettings" Target="webSettings.xml"/><Relationship Id="rId9" Type="http://schemas.openxmlformats.org/officeDocument/2006/relationships/hyperlink" Target="http://www.parliament.nsw.gov.au/prod/parlment/hanstrans.nsf/V3ByKey/LC20101021?Open&amp;refNav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3040</Words>
  <Characters>17330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Cameron</dc:creator>
  <cp:keywords/>
  <dc:description/>
  <cp:lastModifiedBy>Greg Cameron</cp:lastModifiedBy>
  <cp:revision>2</cp:revision>
  <dcterms:created xsi:type="dcterms:W3CDTF">2017-03-05T20:37:00Z</dcterms:created>
  <dcterms:modified xsi:type="dcterms:W3CDTF">2017-03-05T20:37:00Z</dcterms:modified>
</cp:coreProperties>
</file>